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FB3F17B" w14:textId="3E7FE18E" w:rsidR="002D5611" w:rsidRPr="00EE7FAE" w:rsidRDefault="002D5611" w:rsidP="00261A5F">
      <w:pPr>
        <w:pStyle w:val="CRCoverPage"/>
        <w:tabs>
          <w:tab w:val="right" w:pos="9639"/>
        </w:tabs>
        <w:spacing w:afterLines="50"/>
        <w:rPr>
          <w:rFonts w:ascii="Times New Roman" w:eastAsia="宋体" w:hAnsi="Times New Roman"/>
          <w:b/>
          <w:sz w:val="24"/>
          <w:szCs w:val="24"/>
          <w:lang w:val="en-US" w:eastAsia="zh-CN"/>
        </w:rPr>
      </w:pPr>
      <w:bookmarkStart w:id="0" w:name="_Ref399006623"/>
      <w:bookmarkStart w:id="1" w:name="_Toc92513360"/>
      <w:r w:rsidRPr="00EE7FAE">
        <w:rPr>
          <w:rFonts w:ascii="Times New Roman" w:hAnsi="Times New Roman"/>
          <w:b/>
          <w:sz w:val="24"/>
          <w:szCs w:val="24"/>
        </w:rPr>
        <w:t>3GPP TSG-</w:t>
      </w:r>
      <w:r w:rsidRPr="00EE7FAE">
        <w:rPr>
          <w:rFonts w:ascii="Times New Roman" w:hAnsi="Times New Roman"/>
          <w:b/>
          <w:sz w:val="24"/>
          <w:szCs w:val="24"/>
          <w:lang w:val="en-US" w:eastAsia="zh-CN"/>
        </w:rPr>
        <w:t>RAN</w:t>
      </w:r>
      <w:r w:rsidRPr="00EE7FAE">
        <w:rPr>
          <w:rFonts w:ascii="Times New Roman" w:hAnsi="Times New Roman"/>
          <w:b/>
          <w:sz w:val="24"/>
          <w:szCs w:val="24"/>
        </w:rPr>
        <w:t xml:space="preserve"> </w:t>
      </w:r>
      <w:r w:rsidRPr="00EE7FAE">
        <w:rPr>
          <w:rFonts w:ascii="Times New Roman" w:eastAsia="宋体" w:hAnsi="Times New Roman"/>
          <w:b/>
          <w:sz w:val="24"/>
          <w:szCs w:val="24"/>
          <w:lang w:val="en-US" w:eastAsia="zh-CN"/>
        </w:rPr>
        <w:t xml:space="preserve">WG4 </w:t>
      </w:r>
      <w:r w:rsidRPr="00EE7FAE">
        <w:rPr>
          <w:rFonts w:ascii="Times New Roman" w:hAnsi="Times New Roman"/>
          <w:b/>
          <w:sz w:val="24"/>
          <w:szCs w:val="24"/>
        </w:rPr>
        <w:t>Meeting # 11</w:t>
      </w:r>
      <w:r w:rsidR="00E81F37">
        <w:rPr>
          <w:rFonts w:ascii="Times New Roman" w:hAnsi="Times New Roman"/>
          <w:b/>
          <w:sz w:val="24"/>
          <w:szCs w:val="24"/>
        </w:rPr>
        <w:t>5</w:t>
      </w:r>
      <w:r w:rsidRPr="00EE7FAE">
        <w:rPr>
          <w:rFonts w:ascii="Times New Roman" w:hAnsi="Times New Roman"/>
          <w:b/>
          <w:i/>
          <w:sz w:val="24"/>
          <w:szCs w:val="24"/>
        </w:rPr>
        <w:tab/>
      </w:r>
      <w:r w:rsidR="000063BF" w:rsidRPr="000063BF">
        <w:rPr>
          <w:rFonts w:ascii="Times New Roman" w:eastAsia="宋体" w:hAnsi="Times New Roman"/>
          <w:b/>
          <w:sz w:val="24"/>
          <w:szCs w:val="24"/>
          <w:lang w:val="en-US" w:eastAsia="zh-CN"/>
        </w:rPr>
        <w:t>R4-2505768</w:t>
      </w:r>
    </w:p>
    <w:p w14:paraId="5CF3766F" w14:textId="5E12DC6E" w:rsidR="00E10D33" w:rsidRPr="00F542A0" w:rsidRDefault="00E10D33" w:rsidP="00E10D33">
      <w:r w:rsidRPr="00E10D33">
        <w:rPr>
          <w:rFonts w:eastAsia="Times New Roman"/>
          <w:b/>
          <w:sz w:val="24"/>
          <w:szCs w:val="24"/>
          <w:lang w:val="en-GB" w:eastAsia="en-US"/>
        </w:rPr>
        <w:t>Malta, MT, 19th – 23rd May, 2025</w:t>
      </w:r>
    </w:p>
    <w:p w14:paraId="67B6E04D" w14:textId="77777777" w:rsidR="006E5755" w:rsidRPr="00E10D33" w:rsidRDefault="006E5755" w:rsidP="006E5755">
      <w:pPr>
        <w:overflowPunct w:val="0"/>
        <w:autoSpaceDE w:val="0"/>
        <w:autoSpaceDN w:val="0"/>
        <w:adjustRightInd w:val="0"/>
        <w:textAlignment w:val="baseline"/>
        <w:rPr>
          <w:rFonts w:asciiTheme="majorHAnsi" w:hAnsiTheme="majorHAnsi" w:cstheme="majorHAnsi"/>
          <w:b/>
          <w:bCs/>
        </w:rPr>
      </w:pPr>
    </w:p>
    <w:p w14:paraId="6DC7E2FB" w14:textId="77777777" w:rsidR="006E5755" w:rsidRPr="00CE52F1" w:rsidRDefault="006E5755" w:rsidP="006E5755">
      <w:pPr>
        <w:tabs>
          <w:tab w:val="left" w:pos="1985"/>
        </w:tabs>
        <w:rPr>
          <w:rFonts w:asciiTheme="majorHAnsi" w:hAnsiTheme="majorHAnsi" w:cstheme="majorHAnsi"/>
          <w:b/>
        </w:rPr>
      </w:pPr>
      <w:r w:rsidRPr="00CE52F1">
        <w:rPr>
          <w:rFonts w:asciiTheme="majorHAnsi" w:hAnsiTheme="majorHAnsi" w:cstheme="majorHAnsi"/>
          <w:b/>
        </w:rPr>
        <w:t xml:space="preserve">Source: </w:t>
      </w:r>
      <w:r w:rsidRPr="00CE52F1">
        <w:rPr>
          <w:rFonts w:asciiTheme="majorHAnsi" w:hAnsiTheme="majorHAnsi" w:cstheme="majorHAnsi"/>
          <w:b/>
        </w:rPr>
        <w:tab/>
      </w:r>
      <w:r w:rsidRPr="00CE52F1">
        <w:rPr>
          <w:rFonts w:asciiTheme="majorHAnsi" w:hAnsiTheme="majorHAnsi" w:cstheme="majorHAnsi"/>
        </w:rPr>
        <w:t>Xiaomi</w:t>
      </w:r>
    </w:p>
    <w:p w14:paraId="285B9E70" w14:textId="48D388A2" w:rsidR="006E5755" w:rsidRPr="00CE52F1" w:rsidRDefault="006E5755" w:rsidP="006E5755">
      <w:pPr>
        <w:ind w:left="1985" w:hanging="1985"/>
        <w:rPr>
          <w:rFonts w:asciiTheme="majorHAnsi" w:hAnsiTheme="majorHAnsi" w:cstheme="majorHAnsi"/>
        </w:rPr>
      </w:pPr>
      <w:r w:rsidRPr="00CE52F1">
        <w:rPr>
          <w:rFonts w:asciiTheme="majorHAnsi" w:hAnsiTheme="majorHAnsi" w:cstheme="majorHAnsi"/>
          <w:b/>
        </w:rPr>
        <w:t>Title:</w:t>
      </w:r>
      <w:r w:rsidRPr="00CE52F1">
        <w:rPr>
          <w:rFonts w:asciiTheme="majorHAnsi" w:hAnsiTheme="majorHAnsi" w:cstheme="majorHAnsi"/>
        </w:rPr>
        <w:t xml:space="preserve"> </w:t>
      </w:r>
      <w:r w:rsidRPr="00CE52F1">
        <w:rPr>
          <w:rFonts w:asciiTheme="majorHAnsi" w:hAnsiTheme="majorHAnsi" w:cstheme="majorHAnsi"/>
        </w:rPr>
        <w:tab/>
      </w:r>
      <w:r w:rsidR="00C7792F" w:rsidRPr="00C7792F">
        <w:rPr>
          <w:rFonts w:asciiTheme="majorHAnsi" w:hAnsiTheme="majorHAnsi" w:cstheme="majorHAnsi"/>
          <w:sz w:val="22"/>
          <w:lang w:val="en-CA"/>
        </w:rPr>
        <w:t>Discussion on event triggered L1 measurement reporting for mobility</w:t>
      </w:r>
    </w:p>
    <w:p w14:paraId="5DD9EDDA" w14:textId="6037FABE" w:rsidR="006E5755" w:rsidRPr="00CE52F1" w:rsidRDefault="006E5755" w:rsidP="006E5755">
      <w:pPr>
        <w:ind w:left="1985" w:hanging="1985"/>
        <w:rPr>
          <w:rFonts w:asciiTheme="majorHAnsi" w:hAnsiTheme="majorHAnsi" w:cstheme="majorHAnsi"/>
          <w:highlight w:val="yellow"/>
        </w:rPr>
      </w:pPr>
      <w:r w:rsidRPr="00CE52F1">
        <w:rPr>
          <w:rFonts w:asciiTheme="majorHAnsi" w:hAnsiTheme="majorHAnsi" w:cstheme="majorHAnsi"/>
          <w:b/>
        </w:rPr>
        <w:t>Agenda Item:</w:t>
      </w:r>
      <w:r w:rsidRPr="00CE52F1">
        <w:rPr>
          <w:rFonts w:asciiTheme="majorHAnsi" w:hAnsiTheme="majorHAnsi" w:cstheme="majorHAnsi"/>
        </w:rPr>
        <w:tab/>
      </w:r>
      <w:r w:rsidR="00B83EB3">
        <w:rPr>
          <w:rFonts w:asciiTheme="majorHAnsi" w:hAnsiTheme="majorHAnsi" w:cstheme="majorHAnsi"/>
          <w:sz w:val="22"/>
          <w:szCs w:val="22"/>
        </w:rPr>
        <w:t>7</w:t>
      </w:r>
      <w:r w:rsidR="0093603C" w:rsidRPr="002A5845">
        <w:rPr>
          <w:rFonts w:asciiTheme="majorHAnsi" w:hAnsiTheme="majorHAnsi" w:cstheme="majorHAnsi"/>
          <w:sz w:val="22"/>
          <w:szCs w:val="22"/>
        </w:rPr>
        <w:t>.2</w:t>
      </w:r>
      <w:r w:rsidR="000063BF">
        <w:rPr>
          <w:rFonts w:asciiTheme="majorHAnsi" w:hAnsiTheme="majorHAnsi" w:cstheme="majorHAnsi"/>
          <w:sz w:val="22"/>
          <w:szCs w:val="22"/>
        </w:rPr>
        <w:t>9</w:t>
      </w:r>
      <w:r w:rsidR="0093603C" w:rsidRPr="002A5845">
        <w:rPr>
          <w:rFonts w:asciiTheme="majorHAnsi" w:hAnsiTheme="majorHAnsi" w:cstheme="majorHAnsi"/>
          <w:sz w:val="22"/>
          <w:szCs w:val="22"/>
        </w:rPr>
        <w:t>.</w:t>
      </w:r>
      <w:r w:rsidR="000063BF">
        <w:rPr>
          <w:rFonts w:asciiTheme="majorHAnsi" w:hAnsiTheme="majorHAnsi" w:cstheme="majorHAnsi"/>
          <w:sz w:val="22"/>
          <w:szCs w:val="22"/>
        </w:rPr>
        <w:t>3</w:t>
      </w:r>
      <w:r w:rsidR="0093603C" w:rsidRPr="002A5845">
        <w:rPr>
          <w:rFonts w:asciiTheme="majorHAnsi" w:hAnsiTheme="majorHAnsi" w:cstheme="majorHAnsi"/>
          <w:sz w:val="22"/>
          <w:szCs w:val="22"/>
        </w:rPr>
        <w:t>.1</w:t>
      </w:r>
    </w:p>
    <w:p w14:paraId="0C86A2C2" w14:textId="77777777" w:rsidR="006E5755" w:rsidRPr="00CE52F1" w:rsidRDefault="006E5755" w:rsidP="006E5755">
      <w:pPr>
        <w:tabs>
          <w:tab w:val="left" w:pos="1990"/>
        </w:tabs>
        <w:rPr>
          <w:rFonts w:asciiTheme="majorHAnsi" w:hAnsiTheme="majorHAnsi" w:cstheme="majorHAnsi"/>
        </w:rPr>
      </w:pPr>
      <w:r w:rsidRPr="00CE52F1">
        <w:rPr>
          <w:rFonts w:asciiTheme="majorHAnsi" w:hAnsiTheme="majorHAnsi" w:cstheme="majorHAnsi"/>
          <w:b/>
        </w:rPr>
        <w:t>Document for:</w:t>
      </w:r>
      <w:r w:rsidRPr="00CE52F1">
        <w:rPr>
          <w:rFonts w:asciiTheme="majorHAnsi" w:hAnsiTheme="majorHAnsi" w:cstheme="majorHAnsi"/>
        </w:rPr>
        <w:tab/>
        <w:t>Discussion</w:t>
      </w:r>
    </w:p>
    <w:bookmarkEnd w:id="0"/>
    <w:bookmarkEnd w:id="1"/>
    <w:p w14:paraId="241EA8CC" w14:textId="77777777" w:rsidR="006E5755" w:rsidRPr="00CE52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heme="majorHAnsi" w:hAnsiTheme="majorHAnsi" w:cstheme="majorHAnsi"/>
          <w:sz w:val="36"/>
          <w:lang w:val="en-GB"/>
        </w:rPr>
      </w:pPr>
      <w:r w:rsidRPr="00CE52F1">
        <w:rPr>
          <w:rFonts w:asciiTheme="majorHAnsi" w:hAnsiTheme="majorHAnsi" w:cstheme="majorHAnsi"/>
          <w:sz w:val="36"/>
          <w:lang w:val="en-GB"/>
        </w:rPr>
        <w:t>1 Introduction</w:t>
      </w:r>
    </w:p>
    <w:p w14:paraId="473E560D" w14:textId="4DF7F950" w:rsidR="006E5755" w:rsidRPr="00CE52F1" w:rsidRDefault="00AD7A2C" w:rsidP="006E5755">
      <w:pPr>
        <w:overflowPunct w:val="0"/>
        <w:autoSpaceDE w:val="0"/>
        <w:autoSpaceDN w:val="0"/>
        <w:adjustRightInd w:val="0"/>
        <w:spacing w:before="120" w:after="120" w:line="288" w:lineRule="auto"/>
        <w:textAlignment w:val="baseline"/>
        <w:rPr>
          <w:rFonts w:asciiTheme="majorHAnsi" w:hAnsiTheme="majorHAnsi" w:cstheme="majorHAnsi"/>
          <w:lang w:val="en-GB"/>
        </w:rPr>
      </w:pPr>
      <w:r w:rsidRPr="00CE52F1">
        <w:rPr>
          <w:rFonts w:asciiTheme="majorHAnsi" w:hAnsiTheme="majorHAnsi" w:cstheme="majorHAnsi"/>
          <w:lang w:val="en-GB"/>
        </w:rPr>
        <w:t xml:space="preserve">In this contribution, we will </w:t>
      </w:r>
      <w:r w:rsidR="00F83C06" w:rsidRPr="00CE52F1">
        <w:rPr>
          <w:rFonts w:asciiTheme="majorHAnsi" w:hAnsiTheme="majorHAnsi" w:cstheme="majorHAnsi"/>
          <w:lang w:val="en-GB"/>
        </w:rPr>
        <w:t>mainly</w:t>
      </w:r>
      <w:r w:rsidRPr="00CE52F1">
        <w:rPr>
          <w:rFonts w:asciiTheme="majorHAnsi" w:hAnsiTheme="majorHAnsi" w:cstheme="majorHAnsi"/>
          <w:lang w:val="en-GB"/>
        </w:rPr>
        <w:t xml:space="preserve"> discuss the </w:t>
      </w:r>
      <w:r w:rsidR="00502AC1" w:rsidRPr="00CE52F1">
        <w:rPr>
          <w:rFonts w:asciiTheme="majorHAnsi" w:hAnsiTheme="majorHAnsi" w:cstheme="majorHAnsi"/>
          <w:lang w:val="en-GB"/>
        </w:rPr>
        <w:t>following issues</w:t>
      </w:r>
      <w:r w:rsidR="00F83C06" w:rsidRPr="00CE52F1">
        <w:rPr>
          <w:rFonts w:asciiTheme="majorHAnsi" w:hAnsiTheme="majorHAnsi" w:cstheme="majorHAnsi"/>
          <w:lang w:val="en-GB"/>
        </w:rPr>
        <w:t xml:space="preserve"> for Rel-19 </w:t>
      </w:r>
      <w:r w:rsidR="000B1197">
        <w:rPr>
          <w:rFonts w:asciiTheme="majorHAnsi" w:hAnsiTheme="majorHAnsi" w:cstheme="majorHAnsi"/>
          <w:lang w:val="en-GB"/>
        </w:rPr>
        <w:t>Mobility</w:t>
      </w:r>
      <w:r w:rsidR="00F83C06" w:rsidRPr="00CE52F1">
        <w:rPr>
          <w:rFonts w:asciiTheme="majorHAnsi" w:hAnsiTheme="majorHAnsi" w:cstheme="majorHAnsi"/>
          <w:lang w:val="en-GB"/>
        </w:rPr>
        <w:t>.</w:t>
      </w:r>
    </w:p>
    <w:tbl>
      <w:tblPr>
        <w:tblStyle w:val="a4"/>
        <w:tblW w:w="0" w:type="auto"/>
        <w:tblLook w:val="04A0" w:firstRow="1" w:lastRow="0" w:firstColumn="1" w:lastColumn="0" w:noHBand="0" w:noVBand="1"/>
      </w:tblPr>
      <w:tblGrid>
        <w:gridCol w:w="10478"/>
      </w:tblGrid>
      <w:tr w:rsidR="0048248B" w:rsidRPr="00CE52F1" w14:paraId="68386A91" w14:textId="77777777" w:rsidTr="0048248B">
        <w:tc>
          <w:tcPr>
            <w:tcW w:w="10478" w:type="dxa"/>
          </w:tcPr>
          <w:p w14:paraId="0E40D502" w14:textId="68132431" w:rsidR="0048248B" w:rsidRPr="00055C5A" w:rsidRDefault="000B1197" w:rsidP="00055C5A">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lang w:val="en-GB"/>
              </w:rPr>
            </w:pPr>
            <w:r>
              <w:rPr>
                <w:rFonts w:asciiTheme="majorHAnsi" w:hAnsiTheme="majorHAnsi" w:cstheme="majorHAnsi"/>
                <w:lang w:val="en-GB"/>
              </w:rPr>
              <w:t>E</w:t>
            </w:r>
            <w:r w:rsidR="0048248B" w:rsidRPr="00CE52F1">
              <w:rPr>
                <w:rFonts w:asciiTheme="majorHAnsi" w:hAnsiTheme="majorHAnsi" w:cstheme="majorHAnsi"/>
                <w:lang w:val="en-GB"/>
              </w:rPr>
              <w:t>vent-triggered L1 reporting</w:t>
            </w:r>
          </w:p>
        </w:tc>
      </w:tr>
    </w:tbl>
    <w:p w14:paraId="322F81D7" w14:textId="130202D6" w:rsidR="00C63EAA" w:rsidRPr="00C63EAA" w:rsidRDefault="006E5755" w:rsidP="00C63EA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lang w:val="en-GB"/>
        </w:rPr>
      </w:pPr>
      <w:r w:rsidRPr="00CE52F1">
        <w:rPr>
          <w:rFonts w:asciiTheme="majorHAnsi" w:hAnsiTheme="majorHAnsi" w:cstheme="majorHAnsi"/>
          <w:sz w:val="36"/>
          <w:lang w:val="en-GB"/>
        </w:rPr>
        <w:t>Discussion</w:t>
      </w:r>
    </w:p>
    <w:p w14:paraId="047B816B" w14:textId="4DF0AA5B" w:rsidR="00C63EAA" w:rsidRDefault="00C63EAA" w:rsidP="00C63EAA">
      <w:pPr>
        <w:spacing w:beforeLines="50" w:before="120" w:afterLines="50" w:after="120"/>
        <w:rPr>
          <w:rFonts w:asciiTheme="majorHAnsi" w:hAnsiTheme="majorHAnsi" w:cstheme="majorHAnsi"/>
          <w:u w:val="single"/>
          <w:lang w:val="en-GB"/>
        </w:rPr>
      </w:pPr>
      <w:r>
        <w:rPr>
          <w:rFonts w:asciiTheme="majorHAnsi" w:hAnsiTheme="majorHAnsi" w:cstheme="majorHAnsi"/>
          <w:u w:val="single"/>
          <w:lang w:val="en-GB"/>
        </w:rPr>
        <w:t>Reporting capability</w:t>
      </w:r>
    </w:p>
    <w:tbl>
      <w:tblPr>
        <w:tblStyle w:val="a4"/>
        <w:tblW w:w="0" w:type="auto"/>
        <w:tblLook w:val="04A0" w:firstRow="1" w:lastRow="0" w:firstColumn="1" w:lastColumn="0" w:noHBand="0" w:noVBand="1"/>
      </w:tblPr>
      <w:tblGrid>
        <w:gridCol w:w="10478"/>
      </w:tblGrid>
      <w:tr w:rsidR="00C63EAA" w14:paraId="2D3C6295" w14:textId="77777777" w:rsidTr="00E54015">
        <w:tc>
          <w:tcPr>
            <w:tcW w:w="10478" w:type="dxa"/>
          </w:tcPr>
          <w:p w14:paraId="327119EA" w14:textId="77777777" w:rsidR="004C3F86" w:rsidRPr="004C3F86" w:rsidRDefault="004C3F86" w:rsidP="004C3F86">
            <w:pPr>
              <w:pStyle w:val="4"/>
              <w:numPr>
                <w:ilvl w:val="0"/>
                <w:numId w:val="0"/>
              </w:numPr>
              <w:outlineLvl w:val="3"/>
              <w:rPr>
                <w:rFonts w:asciiTheme="majorHAnsi" w:hAnsiTheme="majorHAnsi" w:cstheme="majorHAnsi"/>
                <w:sz w:val="20"/>
                <w:lang w:val="en-US"/>
              </w:rPr>
            </w:pPr>
            <w:r w:rsidRPr="004C3F86">
              <w:rPr>
                <w:rFonts w:asciiTheme="majorHAnsi" w:hAnsiTheme="majorHAnsi" w:cstheme="majorHAnsi"/>
                <w:sz w:val="20"/>
                <w:lang w:val="en-US"/>
              </w:rPr>
              <w:t>Issue 2-4: whether to introduce/update requirements for reporting criteria per measurement category</w:t>
            </w:r>
          </w:p>
          <w:p w14:paraId="37FC01A5" w14:textId="77777777" w:rsidR="004C3F86" w:rsidRPr="004C3F86" w:rsidRDefault="004C3F86" w:rsidP="004C3F86">
            <w:pPr>
              <w:spacing w:after="120"/>
              <w:rPr>
                <w:rFonts w:asciiTheme="majorHAnsi" w:hAnsiTheme="majorHAnsi" w:cstheme="majorHAnsi"/>
                <w:b/>
                <w:bCs/>
                <w:color w:val="000000" w:themeColor="text1"/>
              </w:rPr>
            </w:pPr>
            <w:r w:rsidRPr="004C3F86">
              <w:rPr>
                <w:rFonts w:asciiTheme="majorHAnsi" w:hAnsiTheme="majorHAnsi" w:cstheme="majorHAnsi"/>
                <w:b/>
                <w:bCs/>
                <w:color w:val="000000" w:themeColor="text1"/>
              </w:rPr>
              <w:t>Candidate options:</w:t>
            </w:r>
          </w:p>
          <w:p w14:paraId="59D7F666"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4C3F86">
              <w:rPr>
                <w:rFonts w:asciiTheme="majorHAnsi" w:hAnsiTheme="majorHAnsi" w:cstheme="majorHAnsi"/>
                <w:color w:val="000000" w:themeColor="text1"/>
              </w:rPr>
              <w:t>Option 1: Yes (Xiaomi, CMCC, CATT, MTK, ZTE, OPPO, CTC, E///)</w:t>
            </w:r>
          </w:p>
          <w:p w14:paraId="4D1490A1"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4C3F86">
              <w:rPr>
                <w:rFonts w:asciiTheme="majorHAnsi" w:hAnsiTheme="majorHAnsi" w:cstheme="majorHAnsi"/>
                <w:color w:val="000000" w:themeColor="text1"/>
              </w:rPr>
              <w:t xml:space="preserve">Option 1a: </w:t>
            </w:r>
            <w:r w:rsidRPr="004C3F86">
              <w:rPr>
                <w:rFonts w:asciiTheme="majorHAnsi" w:hAnsiTheme="majorHAnsi" w:cstheme="majorHAnsi"/>
                <w:bCs/>
                <w:color w:val="000000" w:themeColor="text1"/>
              </w:rPr>
              <w:t xml:space="preserve">RAN4 to update intra-frequency and inter-frequency measurement reporting criteria requirements for SSB and CSI-RS based L1-RSRP with the same </w:t>
            </w:r>
            <w:proofErr w:type="spellStart"/>
            <w:r w:rsidRPr="004C3F86">
              <w:rPr>
                <w:rFonts w:asciiTheme="majorHAnsi" w:hAnsiTheme="majorHAnsi" w:cstheme="majorHAnsi"/>
                <w:bCs/>
                <w:color w:val="000000" w:themeColor="text1"/>
              </w:rPr>
              <w:t>E</w:t>
            </w:r>
            <w:r w:rsidRPr="004C3F86">
              <w:rPr>
                <w:rFonts w:asciiTheme="majorHAnsi" w:hAnsiTheme="majorHAnsi" w:cstheme="majorHAnsi"/>
                <w:bCs/>
                <w:color w:val="000000" w:themeColor="text1"/>
                <w:vertAlign w:val="subscript"/>
              </w:rPr>
              <w:t>cat</w:t>
            </w:r>
            <w:proofErr w:type="spellEnd"/>
            <w:r w:rsidRPr="004C3F86">
              <w:rPr>
                <w:rFonts w:asciiTheme="majorHAnsi" w:hAnsiTheme="majorHAnsi" w:cstheme="majorHAnsi"/>
                <w:bCs/>
                <w:color w:val="000000" w:themeColor="text1"/>
                <w:vertAlign w:val="subscript"/>
              </w:rPr>
              <w:t xml:space="preserve">. </w:t>
            </w:r>
            <w:r w:rsidRPr="004C3F86">
              <w:rPr>
                <w:rFonts w:asciiTheme="majorHAnsi" w:hAnsiTheme="majorHAnsi" w:cstheme="majorHAnsi"/>
                <w:bCs/>
                <w:color w:val="000000" w:themeColor="text1"/>
              </w:rPr>
              <w:t>(OPPO)</w:t>
            </w:r>
          </w:p>
          <w:p w14:paraId="28FD47B5"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4C3F86">
              <w:rPr>
                <w:rFonts w:asciiTheme="majorHAnsi" w:hAnsiTheme="majorHAnsi" w:cstheme="majorHAnsi"/>
                <w:bCs/>
                <w:color w:val="000000" w:themeColor="text1"/>
              </w:rPr>
              <w:t>Option 1b: Number of supported L1 events is to be added on top of the currently supported L3 events. Details FFS. (Nokia)</w:t>
            </w:r>
          </w:p>
          <w:p w14:paraId="17B4AEB7" w14:textId="77777777" w:rsidR="004C3F86"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4C3F86">
              <w:rPr>
                <w:rFonts w:asciiTheme="majorHAnsi" w:hAnsiTheme="majorHAnsi" w:cstheme="majorHAnsi"/>
                <w:color w:val="000000" w:themeColor="text1"/>
              </w:rPr>
              <w:t xml:space="preserve">Option 2: </w:t>
            </w:r>
            <w:r w:rsidRPr="004C3F86">
              <w:rPr>
                <w:rFonts w:asciiTheme="majorHAnsi" w:hAnsiTheme="majorHAnsi" w:cstheme="majorHAnsi"/>
                <w:bCs/>
                <w:color w:val="000000" w:themeColor="text1"/>
              </w:rPr>
              <w:t>Open to let RAN1 discuss the number of events supported by UE at first. (MTK)</w:t>
            </w:r>
          </w:p>
          <w:p w14:paraId="4FF2B5FC" w14:textId="73C83383" w:rsidR="00C63EAA" w:rsidRPr="004C3F86" w:rsidRDefault="004C3F86" w:rsidP="004C3F8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rPr>
            </w:pPr>
            <w:r w:rsidRPr="004C3F86">
              <w:rPr>
                <w:rFonts w:asciiTheme="majorHAnsi" w:hAnsiTheme="majorHAnsi" w:cstheme="majorHAnsi"/>
                <w:bCs/>
                <w:color w:val="000000" w:themeColor="text1"/>
              </w:rPr>
              <w:t xml:space="preserve">Option 2a: </w:t>
            </w:r>
            <w:r w:rsidRPr="004C3F86">
              <w:rPr>
                <w:rFonts w:asciiTheme="majorHAnsi" w:hAnsiTheme="majorHAnsi" w:cstheme="majorHAnsi"/>
                <w:color w:val="000000" w:themeColor="text1"/>
              </w:rPr>
              <w:t>RAN4 to align common understanding that the existing number of reporting criteria per category is defined for L3 measurement and reporting only. For L1 measurements, the number of events to be supported by UE shall be discussed in RAN1 first. (vivo)</w:t>
            </w:r>
          </w:p>
        </w:tc>
      </w:tr>
    </w:tbl>
    <w:p w14:paraId="662DE97B" w14:textId="236D881B" w:rsidR="00C63EAA" w:rsidRPr="00526BE2" w:rsidRDefault="00C63EAA" w:rsidP="00C63EAA">
      <w:pPr>
        <w:spacing w:beforeLines="50" w:before="120" w:afterLines="50" w:after="120"/>
        <w:rPr>
          <w:lang w:val="en-GB"/>
        </w:rPr>
      </w:pPr>
      <w:r>
        <w:rPr>
          <w:lang w:val="en-GB"/>
        </w:rPr>
        <w:t>T</w:t>
      </w:r>
      <w:r w:rsidRPr="00EE5F13">
        <w:rPr>
          <w:lang w:val="en-GB"/>
        </w:rPr>
        <w:t xml:space="preserve">here are </w:t>
      </w:r>
      <w:r>
        <w:rPr>
          <w:lang w:val="en-GB"/>
        </w:rPr>
        <w:t>some</w:t>
      </w:r>
      <w:r w:rsidRPr="00EE5F13">
        <w:rPr>
          <w:lang w:val="en-GB"/>
        </w:rPr>
        <w:t xml:space="preserve"> discussions about the UE capability of supported number of events. Generally, we are fine to define capability for supported number of events </w:t>
      </w:r>
      <w:r>
        <w:rPr>
          <w:lang w:val="en-GB"/>
        </w:rPr>
        <w:t>for L1 based reporting for LTM</w:t>
      </w:r>
      <w:r w:rsidRPr="00054F5D">
        <w:rPr>
          <w:lang w:val="en-GB"/>
        </w:rPr>
        <w:t>.</w:t>
      </w:r>
      <w:r>
        <w:rPr>
          <w:lang w:val="en-GB"/>
        </w:rPr>
        <w:t xml:space="preserve"> </w:t>
      </w:r>
      <w:r w:rsidRPr="00054F5D">
        <w:rPr>
          <w:lang w:val="en-GB"/>
        </w:rPr>
        <w:t xml:space="preserve">Since CSI-RS based LTM is also considered in L1 event triggered reporting, </w:t>
      </w:r>
      <w:r w:rsidRPr="00EE5F13">
        <w:rPr>
          <w:lang w:val="en-GB"/>
        </w:rPr>
        <w:t xml:space="preserve">the relation between L3 reporting and L1 reporting, and relation between CSI-RS based L1 measurement/reporting and SSB based L1 measurement/reporting will have impact on the capability definition. it’s also FFS how to count frequency layer. Therefore, we </w:t>
      </w:r>
      <w:r w:rsidR="00DE2EFA">
        <w:rPr>
          <w:lang w:val="en-GB"/>
        </w:rPr>
        <w:t>prefer</w:t>
      </w:r>
      <w:r w:rsidRPr="00EE5F13">
        <w:rPr>
          <w:lang w:val="en-GB"/>
        </w:rPr>
        <w:t xml:space="preserve"> to discuss the detail of UE capability</w:t>
      </w:r>
      <w:r>
        <w:rPr>
          <w:lang w:val="en-GB"/>
        </w:rPr>
        <w:t xml:space="preserve"> for in later stage when design is clearer.</w:t>
      </w:r>
    </w:p>
    <w:p w14:paraId="0A62F6E5" w14:textId="60E4AD58" w:rsidR="00C63EAA" w:rsidRPr="00ED61D9" w:rsidRDefault="00C63EAA" w:rsidP="00C63EAA">
      <w:pPr>
        <w:spacing w:beforeLines="50" w:before="120" w:afterLines="50" w:after="120"/>
        <w:rPr>
          <w:b/>
          <w:bCs/>
          <w:lang w:val="en-GB"/>
        </w:rPr>
      </w:pPr>
      <w:r w:rsidRPr="00ED61D9">
        <w:rPr>
          <w:rFonts w:hint="eastAsia"/>
          <w:b/>
          <w:bCs/>
          <w:lang w:val="en-GB"/>
        </w:rPr>
        <w:t>P</w:t>
      </w:r>
      <w:r w:rsidRPr="00ED61D9">
        <w:rPr>
          <w:b/>
          <w:bCs/>
          <w:lang w:val="en-GB"/>
        </w:rPr>
        <w:t>roposal</w:t>
      </w:r>
      <w:r>
        <w:rPr>
          <w:b/>
          <w:bCs/>
          <w:lang w:val="en-GB"/>
        </w:rPr>
        <w:t xml:space="preserve"> 1</w:t>
      </w:r>
      <w:r w:rsidRPr="00ED61D9">
        <w:rPr>
          <w:b/>
          <w:bCs/>
          <w:lang w:val="en-GB"/>
        </w:rPr>
        <w:t xml:space="preserve">: </w:t>
      </w:r>
      <w:r>
        <w:rPr>
          <w:b/>
          <w:bCs/>
          <w:lang w:val="en-GB"/>
        </w:rPr>
        <w:t xml:space="preserve">RAN4 to define UE capability for </w:t>
      </w:r>
      <w:r w:rsidRPr="005310DC">
        <w:rPr>
          <w:b/>
          <w:bCs/>
          <w:lang w:val="en-GB"/>
        </w:rPr>
        <w:t>Event Triggering and Reporting Criteria for LTM</w:t>
      </w:r>
      <w:r>
        <w:rPr>
          <w:b/>
          <w:bCs/>
          <w:lang w:val="en-GB"/>
        </w:rPr>
        <w:t xml:space="preserve">. </w:t>
      </w:r>
    </w:p>
    <w:p w14:paraId="4A05D9AC" w14:textId="77777777" w:rsidR="00C63EAA" w:rsidRPr="00CE52F1" w:rsidRDefault="00C63EAA" w:rsidP="00C63EAA">
      <w:pPr>
        <w:spacing w:beforeLines="50" w:before="120" w:afterLines="50" w:after="120"/>
        <w:rPr>
          <w:rFonts w:asciiTheme="majorHAnsi" w:hAnsiTheme="majorHAnsi" w:cstheme="majorHAnsi"/>
          <w:u w:val="single"/>
          <w:lang w:val="en-GB"/>
        </w:rPr>
      </w:pPr>
      <w:r>
        <w:rPr>
          <w:rFonts w:asciiTheme="majorHAnsi" w:hAnsiTheme="majorHAnsi" w:cstheme="majorHAnsi"/>
          <w:u w:val="single"/>
          <w:lang w:val="en-GB"/>
        </w:rPr>
        <w:t>M</w:t>
      </w:r>
      <w:r w:rsidRPr="00CE52F1">
        <w:rPr>
          <w:rFonts w:asciiTheme="majorHAnsi" w:hAnsiTheme="majorHAnsi" w:cstheme="majorHAnsi"/>
          <w:u w:val="single"/>
          <w:lang w:val="en-GB"/>
        </w:rPr>
        <w:t xml:space="preserve">easurement </w:t>
      </w:r>
      <w:r>
        <w:rPr>
          <w:rFonts w:asciiTheme="majorHAnsi" w:hAnsiTheme="majorHAnsi" w:cstheme="majorHAnsi"/>
          <w:u w:val="single"/>
          <w:lang w:val="en-GB"/>
        </w:rPr>
        <w:t>delay</w:t>
      </w:r>
    </w:p>
    <w:tbl>
      <w:tblPr>
        <w:tblStyle w:val="a4"/>
        <w:tblW w:w="0" w:type="auto"/>
        <w:tblLook w:val="04A0" w:firstRow="1" w:lastRow="0" w:firstColumn="1" w:lastColumn="0" w:noHBand="0" w:noVBand="1"/>
      </w:tblPr>
      <w:tblGrid>
        <w:gridCol w:w="10478"/>
      </w:tblGrid>
      <w:tr w:rsidR="00C63EAA" w14:paraId="408713A8" w14:textId="77777777" w:rsidTr="00E54015">
        <w:tc>
          <w:tcPr>
            <w:tcW w:w="10478" w:type="dxa"/>
          </w:tcPr>
          <w:p w14:paraId="5ABD1626" w14:textId="77777777" w:rsidR="00AA1144" w:rsidRPr="008611D4" w:rsidRDefault="00AA1144" w:rsidP="00AA1144">
            <w:pPr>
              <w:pStyle w:val="4"/>
              <w:numPr>
                <w:ilvl w:val="0"/>
                <w:numId w:val="0"/>
              </w:numPr>
              <w:outlineLvl w:val="3"/>
              <w:rPr>
                <w:lang w:val="en-US"/>
              </w:rPr>
            </w:pPr>
            <w:r w:rsidRPr="008611D4">
              <w:rPr>
                <w:lang w:val="en-US"/>
              </w:rPr>
              <w:t>Issue 2-2: Event triggered reporting delay for L1 reporting</w:t>
            </w:r>
          </w:p>
          <w:p w14:paraId="23079B54" w14:textId="77777777" w:rsidR="00AA1144" w:rsidRPr="00B46C40" w:rsidRDefault="00AA1144" w:rsidP="00AA1144">
            <w:pPr>
              <w:spacing w:after="120"/>
              <w:rPr>
                <w:b/>
                <w:bCs/>
                <w:color w:val="000000"/>
              </w:rPr>
            </w:pPr>
            <w:r w:rsidRPr="00B46C40">
              <w:rPr>
                <w:b/>
                <w:bCs/>
                <w:color w:val="000000"/>
              </w:rPr>
              <w:t>Agreement:</w:t>
            </w:r>
          </w:p>
          <w:p w14:paraId="443857A4" w14:textId="72C961D3" w:rsidR="00C63EAA" w:rsidRPr="00AA1144" w:rsidRDefault="00AA1144" w:rsidP="00AA1144">
            <w:pPr>
              <w:pStyle w:val="a5"/>
              <w:numPr>
                <w:ilvl w:val="0"/>
                <w:numId w:val="17"/>
              </w:numPr>
              <w:overflowPunct w:val="0"/>
              <w:autoSpaceDE w:val="0"/>
              <w:autoSpaceDN w:val="0"/>
              <w:adjustRightInd w:val="0"/>
              <w:spacing w:after="120"/>
              <w:ind w:firstLineChars="0"/>
              <w:textAlignment w:val="baseline"/>
              <w:rPr>
                <w:bCs/>
                <w:color w:val="000000"/>
                <w:u w:val="single"/>
              </w:rPr>
            </w:pPr>
            <w:r w:rsidRPr="00B46C40">
              <w:rPr>
                <w:bCs/>
                <w:color w:val="000000"/>
              </w:rPr>
              <w:t xml:space="preserve">Reuse the framework from L3 event triggered reporting. Discuss the details further. </w:t>
            </w:r>
          </w:p>
        </w:tc>
      </w:tr>
    </w:tbl>
    <w:p w14:paraId="2D28337D" w14:textId="129EF589" w:rsidR="00C63EAA" w:rsidRDefault="00C63EAA" w:rsidP="00C63EAA">
      <w:pPr>
        <w:spacing w:beforeLines="50" w:before="120" w:afterLines="50" w:after="120"/>
        <w:rPr>
          <w:rFonts w:asciiTheme="majorHAnsi" w:hAnsiTheme="majorHAnsi" w:cstheme="majorHAnsi"/>
          <w:lang w:val="en-GB"/>
        </w:rPr>
      </w:pPr>
      <w:r w:rsidRPr="000B1A85">
        <w:rPr>
          <w:rFonts w:asciiTheme="majorHAnsi" w:hAnsiTheme="majorHAnsi" w:cstheme="majorHAnsi"/>
          <w:lang w:val="en-GB"/>
        </w:rPr>
        <w:t>If the measurement period</w:t>
      </w:r>
      <w:r>
        <w:rPr>
          <w:rFonts w:asciiTheme="majorHAnsi" w:hAnsiTheme="majorHAnsi" w:cstheme="majorHAnsi"/>
          <w:lang w:val="en-GB"/>
        </w:rPr>
        <w:t>s</w:t>
      </w:r>
      <w:r w:rsidRPr="000B1A85">
        <w:rPr>
          <w:rFonts w:asciiTheme="majorHAnsi" w:hAnsiTheme="majorHAnsi" w:cstheme="majorHAnsi"/>
          <w:lang w:val="en-GB"/>
        </w:rPr>
        <w:t xml:space="preserve"> for different beams are the same, the legacy requirement can be re-used. However, if the RS periodicity is different, we prefer that the maximum measurement period between current beam and candidate beam will be used as measurement delay</w:t>
      </w:r>
      <w:r w:rsidR="00AA1144">
        <w:rPr>
          <w:rFonts w:asciiTheme="majorHAnsi" w:hAnsiTheme="majorHAnsi" w:cstheme="majorHAnsi"/>
          <w:lang w:val="en-GB"/>
        </w:rPr>
        <w:t>, with the following reasons:</w:t>
      </w:r>
    </w:p>
    <w:p w14:paraId="3C2EA12E" w14:textId="10EDC599" w:rsidR="00AA1144" w:rsidRPr="007F6A11" w:rsidRDefault="00AA1144" w:rsidP="00AA1144">
      <w:pPr>
        <w:pStyle w:val="a5"/>
        <w:numPr>
          <w:ilvl w:val="0"/>
          <w:numId w:val="25"/>
        </w:numPr>
        <w:ind w:firstLineChars="0"/>
        <w:rPr>
          <w:lang w:val="en-GB"/>
        </w:rPr>
      </w:pPr>
      <w:r w:rsidRPr="007F6A11">
        <w:rPr>
          <w:lang w:val="en-GB"/>
        </w:rPr>
        <w:t xml:space="preserve">1. Simplicity: </w:t>
      </w:r>
      <w:r w:rsidRPr="000B1A85">
        <w:rPr>
          <w:rFonts w:asciiTheme="majorHAnsi" w:hAnsiTheme="majorHAnsi" w:cstheme="majorHAnsi"/>
          <w:lang w:val="en-GB"/>
        </w:rPr>
        <w:t>maximum measurement period</w:t>
      </w:r>
      <w:r w:rsidRPr="007F6A11">
        <w:rPr>
          <w:lang w:val="en-GB"/>
        </w:rPr>
        <w:t xml:space="preserve"> provides a straightforward and simple description of </w:t>
      </w:r>
      <w:r>
        <w:rPr>
          <w:lang w:val="en-GB"/>
        </w:rPr>
        <w:t xml:space="preserve">measurement </w:t>
      </w:r>
      <w:r w:rsidRPr="007F6A11">
        <w:rPr>
          <w:lang w:val="en-GB"/>
        </w:rPr>
        <w:t>period, making it easier to implement and understand. This simplicity is crucial for ensuring consistency across different systems and vendors.</w:t>
      </w:r>
    </w:p>
    <w:p w14:paraId="63EA2585" w14:textId="77777777" w:rsidR="00AA1144" w:rsidRPr="007F6A11" w:rsidRDefault="00AA1144" w:rsidP="00AA1144">
      <w:pPr>
        <w:pStyle w:val="a5"/>
        <w:numPr>
          <w:ilvl w:val="0"/>
          <w:numId w:val="25"/>
        </w:numPr>
        <w:ind w:firstLineChars="0"/>
        <w:rPr>
          <w:lang w:val="en-GB"/>
        </w:rPr>
      </w:pPr>
      <w:r w:rsidRPr="007F6A11">
        <w:rPr>
          <w:lang w:val="en-GB"/>
        </w:rPr>
        <w:t>2. Consistency with Existing Standards: Many similar solutions in the current specification use the maximum of periodicities. This approach ensures that the new solution is consistent with existing practices, reducing the risk of confusion and ensuring a smoother integration.</w:t>
      </w:r>
    </w:p>
    <w:p w14:paraId="28AE47EB" w14:textId="5D989DF9" w:rsidR="00AA1144" w:rsidRPr="007F6A11" w:rsidRDefault="00AA1144" w:rsidP="00AA1144">
      <w:pPr>
        <w:pStyle w:val="a5"/>
        <w:numPr>
          <w:ilvl w:val="0"/>
          <w:numId w:val="25"/>
        </w:numPr>
        <w:ind w:firstLineChars="0"/>
        <w:rPr>
          <w:lang w:val="en-GB"/>
        </w:rPr>
      </w:pPr>
      <w:r w:rsidRPr="007F6A11">
        <w:rPr>
          <w:lang w:val="en-GB"/>
        </w:rPr>
        <w:lastRenderedPageBreak/>
        <w:t xml:space="preserve">3. Reduced Complexity: </w:t>
      </w:r>
      <w:r>
        <w:rPr>
          <w:lang w:val="en-GB"/>
        </w:rPr>
        <w:t>other option</w:t>
      </w:r>
      <w:r w:rsidRPr="007F6A11">
        <w:rPr>
          <w:lang w:val="en-GB"/>
        </w:rPr>
        <w:t xml:space="preserve"> introduces additional complexity by requiring different T</w:t>
      </w:r>
      <w:r w:rsidRPr="00AA1144">
        <w:rPr>
          <w:vertAlign w:val="subscript"/>
          <w:lang w:val="en-GB"/>
        </w:rPr>
        <w:t>L1_measurement periods</w:t>
      </w:r>
      <w:r w:rsidRPr="007F6A11">
        <w:rPr>
          <w:lang w:val="en-GB"/>
        </w:rPr>
        <w:t xml:space="preserve"> for different </w:t>
      </w:r>
      <w:r>
        <w:rPr>
          <w:lang w:val="en-GB"/>
        </w:rPr>
        <w:t>cells</w:t>
      </w:r>
      <w:r w:rsidRPr="007F6A11">
        <w:rPr>
          <w:lang w:val="en-GB"/>
        </w:rPr>
        <w:t>. This can lead to more intricate and error-prone implementations, especially in dynamic environments where beam switching is frequent.</w:t>
      </w:r>
    </w:p>
    <w:p w14:paraId="4109CBBA" w14:textId="77777777" w:rsidR="00AA1144" w:rsidRPr="007F6A11" w:rsidRDefault="00AA1144" w:rsidP="00AA1144">
      <w:pPr>
        <w:pStyle w:val="a5"/>
        <w:numPr>
          <w:ilvl w:val="0"/>
          <w:numId w:val="25"/>
        </w:numPr>
        <w:spacing w:afterLines="100" w:after="240"/>
        <w:ind w:left="357" w:firstLineChars="0" w:hanging="357"/>
        <w:rPr>
          <w:lang w:val="en-GB"/>
        </w:rPr>
      </w:pPr>
      <w:r w:rsidRPr="007F6A11">
        <w:rPr>
          <w:lang w:val="en-GB"/>
        </w:rPr>
        <w:t>4. Ease of Definition: By using the maximum of the L1 measurement periods, we avoid the need to define and manage separate requirements for each component. This simplifies the specification and reduces the burden on system designers and implementers.</w:t>
      </w:r>
    </w:p>
    <w:p w14:paraId="7A4BFC1A" w14:textId="6959913C" w:rsidR="00C63EAA" w:rsidRDefault="00C63EAA" w:rsidP="00C63EAA">
      <w:pPr>
        <w:spacing w:beforeLines="50" w:before="120" w:afterLines="50" w:after="120"/>
        <w:rPr>
          <w:rFonts w:asciiTheme="majorHAnsi" w:hAnsiTheme="majorHAnsi" w:cstheme="majorHAnsi"/>
          <w:b/>
          <w:bCs/>
          <w:lang w:val="en-GB"/>
        </w:rPr>
      </w:pPr>
      <w:r w:rsidRPr="00CE52F1">
        <w:rPr>
          <w:rFonts w:asciiTheme="majorHAnsi" w:hAnsiTheme="majorHAnsi" w:cstheme="majorHAnsi"/>
          <w:b/>
          <w:bCs/>
          <w:lang w:val="en-GB"/>
        </w:rPr>
        <w:t>Proposal</w:t>
      </w:r>
      <w:r>
        <w:rPr>
          <w:rFonts w:asciiTheme="majorHAnsi" w:hAnsiTheme="majorHAnsi" w:cstheme="majorHAnsi"/>
          <w:b/>
          <w:bCs/>
          <w:lang w:val="en-GB"/>
        </w:rPr>
        <w:t xml:space="preserve"> </w:t>
      </w:r>
      <w:r w:rsidR="00187299">
        <w:rPr>
          <w:rFonts w:asciiTheme="majorHAnsi" w:hAnsiTheme="majorHAnsi" w:cstheme="majorHAnsi"/>
          <w:b/>
          <w:bCs/>
          <w:lang w:val="en-GB"/>
        </w:rPr>
        <w:t>2</w:t>
      </w:r>
      <w:r w:rsidRPr="00CE52F1">
        <w:rPr>
          <w:rFonts w:asciiTheme="majorHAnsi" w:hAnsiTheme="majorHAnsi" w:cstheme="majorHAnsi"/>
          <w:b/>
          <w:bCs/>
          <w:lang w:val="en-GB"/>
        </w:rPr>
        <w:t xml:space="preserve">: </w:t>
      </w:r>
      <w:r w:rsidR="00272189">
        <w:rPr>
          <w:rFonts w:asciiTheme="majorHAnsi" w:hAnsiTheme="majorHAnsi" w:cstheme="majorHAnsi"/>
          <w:b/>
          <w:bCs/>
          <w:lang w:val="en-GB"/>
        </w:rPr>
        <w:t>For</w:t>
      </w:r>
      <w:r>
        <w:rPr>
          <w:rFonts w:asciiTheme="majorHAnsi" w:hAnsiTheme="majorHAnsi" w:cstheme="majorHAnsi"/>
          <w:b/>
          <w:bCs/>
          <w:lang w:val="en-GB"/>
        </w:rPr>
        <w:t xml:space="preserve"> multiple beams </w:t>
      </w:r>
      <w:r w:rsidRPr="00CE52F1">
        <w:rPr>
          <w:rFonts w:asciiTheme="majorHAnsi" w:hAnsiTheme="majorHAnsi" w:cstheme="majorHAnsi"/>
          <w:b/>
          <w:bCs/>
          <w:lang w:val="en-GB"/>
        </w:rPr>
        <w:t>with different measurement period</w:t>
      </w:r>
      <w:r>
        <w:rPr>
          <w:rFonts w:asciiTheme="majorHAnsi" w:hAnsiTheme="majorHAnsi" w:cstheme="majorHAnsi"/>
          <w:b/>
          <w:bCs/>
          <w:lang w:val="en-GB"/>
        </w:rPr>
        <w:t xml:space="preserve">, </w:t>
      </w:r>
      <w:r w:rsidRPr="00CE52F1">
        <w:rPr>
          <w:rFonts w:asciiTheme="majorHAnsi" w:hAnsiTheme="majorHAnsi" w:cstheme="majorHAnsi"/>
          <w:b/>
          <w:bCs/>
          <w:lang w:val="en-GB"/>
        </w:rPr>
        <w:t xml:space="preserve">the </w:t>
      </w:r>
      <w:r>
        <w:rPr>
          <w:rFonts w:asciiTheme="majorHAnsi" w:hAnsiTheme="majorHAnsi" w:cstheme="majorHAnsi"/>
          <w:b/>
          <w:bCs/>
          <w:lang w:val="en-GB"/>
        </w:rPr>
        <w:t>maximum measurement period will be considered as measurement delay</w:t>
      </w:r>
      <w:r w:rsidR="00272189">
        <w:rPr>
          <w:rFonts w:asciiTheme="majorHAnsi" w:hAnsiTheme="majorHAnsi" w:cstheme="majorHAnsi"/>
          <w:b/>
          <w:bCs/>
          <w:lang w:val="en-GB"/>
        </w:rPr>
        <w:t xml:space="preserve"> to ensure simplicity and </w:t>
      </w:r>
      <w:r w:rsidR="00272189" w:rsidRPr="00272189">
        <w:rPr>
          <w:rFonts w:asciiTheme="majorHAnsi" w:hAnsiTheme="majorHAnsi" w:cstheme="majorHAnsi"/>
          <w:b/>
          <w:bCs/>
          <w:lang w:val="en-GB"/>
        </w:rPr>
        <w:t>consistency with existing standards</w:t>
      </w:r>
      <w:r w:rsidRPr="00CE52F1">
        <w:rPr>
          <w:rFonts w:asciiTheme="majorHAnsi" w:hAnsiTheme="majorHAnsi" w:cstheme="majorHAnsi"/>
          <w:b/>
          <w:bCs/>
          <w:lang w:val="en-GB"/>
        </w:rPr>
        <w:t>.</w:t>
      </w:r>
      <w:r w:rsidR="00272189">
        <w:rPr>
          <w:rFonts w:asciiTheme="majorHAnsi" w:hAnsiTheme="majorHAnsi" w:cstheme="majorHAnsi"/>
          <w:b/>
          <w:bCs/>
          <w:lang w:val="en-GB"/>
        </w:rPr>
        <w:t xml:space="preserve"> </w:t>
      </w:r>
    </w:p>
    <w:tbl>
      <w:tblPr>
        <w:tblStyle w:val="a4"/>
        <w:tblW w:w="0" w:type="auto"/>
        <w:tblLook w:val="04A0" w:firstRow="1" w:lastRow="0" w:firstColumn="1" w:lastColumn="0" w:noHBand="0" w:noVBand="1"/>
      </w:tblPr>
      <w:tblGrid>
        <w:gridCol w:w="10478"/>
      </w:tblGrid>
      <w:tr w:rsidR="00C54D38" w14:paraId="2D52F2E1" w14:textId="77777777" w:rsidTr="00C54D38">
        <w:tc>
          <w:tcPr>
            <w:tcW w:w="10478" w:type="dxa"/>
          </w:tcPr>
          <w:p w14:paraId="623C768E" w14:textId="77777777" w:rsidR="00C54D38" w:rsidRPr="008611D4" w:rsidRDefault="00C54D38" w:rsidP="00C54D38">
            <w:pPr>
              <w:pStyle w:val="4"/>
              <w:numPr>
                <w:ilvl w:val="0"/>
                <w:numId w:val="0"/>
              </w:numPr>
              <w:outlineLvl w:val="3"/>
              <w:rPr>
                <w:lang w:val="en-US"/>
              </w:rPr>
            </w:pPr>
            <w:r w:rsidRPr="008611D4">
              <w:rPr>
                <w:lang w:val="en-US"/>
              </w:rPr>
              <w:t>Issue 2-1: applicability of L1-RSRP reporting delay</w:t>
            </w:r>
          </w:p>
          <w:p w14:paraId="449D171A" w14:textId="77777777" w:rsidR="00C54D38" w:rsidRPr="00B46C40" w:rsidRDefault="00C54D38" w:rsidP="00C54D38">
            <w:pPr>
              <w:spacing w:after="120"/>
              <w:rPr>
                <w:b/>
                <w:bCs/>
                <w:color w:val="000000"/>
              </w:rPr>
            </w:pPr>
            <w:r w:rsidRPr="00B46C40">
              <w:rPr>
                <w:b/>
                <w:bCs/>
                <w:color w:val="000000"/>
              </w:rPr>
              <w:t>Candidate options:</w:t>
            </w:r>
          </w:p>
          <w:p w14:paraId="598C2167" w14:textId="77777777" w:rsidR="00C54D38" w:rsidRPr="00B46C40" w:rsidRDefault="00C54D38" w:rsidP="00C54D38">
            <w:pPr>
              <w:pStyle w:val="a5"/>
              <w:numPr>
                <w:ilvl w:val="0"/>
                <w:numId w:val="17"/>
              </w:numPr>
              <w:overflowPunct w:val="0"/>
              <w:autoSpaceDE w:val="0"/>
              <w:autoSpaceDN w:val="0"/>
              <w:adjustRightInd w:val="0"/>
              <w:spacing w:after="120"/>
              <w:ind w:firstLineChars="0"/>
              <w:textAlignment w:val="baseline"/>
              <w:rPr>
                <w:color w:val="000000"/>
              </w:rPr>
            </w:pPr>
            <w:r w:rsidRPr="00B46C40">
              <w:rPr>
                <w:color w:val="000000"/>
              </w:rPr>
              <w:t>Option 1: (vivo)</w:t>
            </w:r>
          </w:p>
          <w:p w14:paraId="6FEA47E7" w14:textId="77777777" w:rsidR="00C54D38" w:rsidRPr="00B46C40" w:rsidRDefault="00C54D38" w:rsidP="00C54D38">
            <w:pPr>
              <w:pStyle w:val="a5"/>
              <w:numPr>
                <w:ilvl w:val="1"/>
                <w:numId w:val="17"/>
              </w:numPr>
              <w:overflowPunct w:val="0"/>
              <w:autoSpaceDE w:val="0"/>
              <w:autoSpaceDN w:val="0"/>
              <w:adjustRightInd w:val="0"/>
              <w:spacing w:after="120"/>
              <w:ind w:firstLineChars="0"/>
              <w:textAlignment w:val="baseline"/>
              <w:rPr>
                <w:bCs/>
                <w:color w:val="000000"/>
              </w:rPr>
            </w:pPr>
            <w:r w:rsidRPr="00B46C40">
              <w:rPr>
                <w:bCs/>
                <w:color w:val="000000"/>
              </w:rPr>
              <w:t>RAN4 starts the discussion on L1-RSRP reporting delay with the follow assumptions:</w:t>
            </w:r>
          </w:p>
          <w:p w14:paraId="09D560CF" w14:textId="77777777" w:rsidR="00C54D38" w:rsidRPr="00B46C40" w:rsidRDefault="00C54D38" w:rsidP="00C54D38">
            <w:pPr>
              <w:pStyle w:val="a5"/>
              <w:numPr>
                <w:ilvl w:val="2"/>
                <w:numId w:val="17"/>
              </w:numPr>
              <w:overflowPunct w:val="0"/>
              <w:autoSpaceDE w:val="0"/>
              <w:autoSpaceDN w:val="0"/>
              <w:adjustRightInd w:val="0"/>
              <w:spacing w:after="120"/>
              <w:ind w:firstLineChars="0"/>
              <w:textAlignment w:val="baseline"/>
              <w:rPr>
                <w:bCs/>
                <w:color w:val="000000"/>
              </w:rPr>
            </w:pPr>
            <w:r w:rsidRPr="00B46C40">
              <w:rPr>
                <w:bCs/>
                <w:color w:val="000000"/>
              </w:rPr>
              <w:t>No indicate TCI change during the evaluation period.</w:t>
            </w:r>
          </w:p>
          <w:p w14:paraId="59EF8A4A" w14:textId="77777777" w:rsidR="00C54D38" w:rsidRPr="00B46C40" w:rsidRDefault="00C54D38" w:rsidP="00C54D38">
            <w:pPr>
              <w:pStyle w:val="a5"/>
              <w:numPr>
                <w:ilvl w:val="2"/>
                <w:numId w:val="17"/>
              </w:numPr>
              <w:overflowPunct w:val="0"/>
              <w:autoSpaceDE w:val="0"/>
              <w:autoSpaceDN w:val="0"/>
              <w:adjustRightInd w:val="0"/>
              <w:spacing w:after="120"/>
              <w:ind w:firstLineChars="0"/>
              <w:textAlignment w:val="baseline"/>
              <w:rPr>
                <w:bCs/>
                <w:color w:val="000000"/>
              </w:rPr>
            </w:pPr>
            <w:r w:rsidRPr="00B46C40">
              <w:rPr>
                <w:bCs/>
                <w:color w:val="000000"/>
              </w:rPr>
              <w:t>No configuration change w.r.t measurement RS during the evaluation period</w:t>
            </w:r>
          </w:p>
          <w:p w14:paraId="55990F59" w14:textId="77777777" w:rsidR="00C54D38" w:rsidRPr="00B46C40" w:rsidRDefault="00C54D38" w:rsidP="00C54D38">
            <w:pPr>
              <w:pStyle w:val="a5"/>
              <w:numPr>
                <w:ilvl w:val="2"/>
                <w:numId w:val="17"/>
              </w:numPr>
              <w:overflowPunct w:val="0"/>
              <w:autoSpaceDE w:val="0"/>
              <w:autoSpaceDN w:val="0"/>
              <w:adjustRightInd w:val="0"/>
              <w:spacing w:after="120"/>
              <w:ind w:firstLineChars="0"/>
              <w:textAlignment w:val="baseline"/>
              <w:rPr>
                <w:bCs/>
                <w:color w:val="000000"/>
              </w:rPr>
            </w:pPr>
            <w:r w:rsidRPr="00B46C40">
              <w:rPr>
                <w:bCs/>
                <w:color w:val="000000"/>
              </w:rPr>
              <w:t>After the condition that would trigger the event takes effect, the condition is assumed to be fixed during the whole L1 measurement period</w:t>
            </w:r>
          </w:p>
          <w:p w14:paraId="6BEEBAB2" w14:textId="77777777" w:rsidR="00C54D38" w:rsidRPr="00B46C40" w:rsidRDefault="00C54D38" w:rsidP="00C54D38">
            <w:pPr>
              <w:pStyle w:val="a5"/>
              <w:numPr>
                <w:ilvl w:val="0"/>
                <w:numId w:val="17"/>
              </w:numPr>
              <w:overflowPunct w:val="0"/>
              <w:autoSpaceDE w:val="0"/>
              <w:autoSpaceDN w:val="0"/>
              <w:adjustRightInd w:val="0"/>
              <w:spacing w:after="120"/>
              <w:ind w:firstLineChars="0"/>
              <w:textAlignment w:val="baseline"/>
              <w:rPr>
                <w:bCs/>
                <w:color w:val="000000"/>
              </w:rPr>
            </w:pPr>
            <w:r w:rsidRPr="00B46C40">
              <w:rPr>
                <w:bCs/>
                <w:color w:val="000000"/>
              </w:rPr>
              <w:t>Option 2 (Apple)</w:t>
            </w:r>
          </w:p>
          <w:p w14:paraId="055F1FC8" w14:textId="47F01616" w:rsidR="00C54D38" w:rsidRPr="00C54D38" w:rsidRDefault="00C54D38" w:rsidP="00C54D38">
            <w:pPr>
              <w:pStyle w:val="a5"/>
              <w:numPr>
                <w:ilvl w:val="1"/>
                <w:numId w:val="17"/>
              </w:numPr>
              <w:overflowPunct w:val="0"/>
              <w:autoSpaceDE w:val="0"/>
              <w:autoSpaceDN w:val="0"/>
              <w:adjustRightInd w:val="0"/>
              <w:spacing w:after="120"/>
              <w:ind w:firstLineChars="0"/>
              <w:textAlignment w:val="baseline"/>
              <w:rPr>
                <w:color w:val="000000"/>
              </w:rPr>
            </w:pPr>
            <w:r w:rsidRPr="00B46C40">
              <w:rPr>
                <w:color w:val="000000"/>
              </w:rPr>
              <w:t>Seems no need to capture assumptions listed under option-1 into core requirements.</w:t>
            </w:r>
          </w:p>
        </w:tc>
      </w:tr>
    </w:tbl>
    <w:p w14:paraId="12E55F23" w14:textId="77777777" w:rsidR="00272189" w:rsidRPr="004E7291" w:rsidRDefault="00327753" w:rsidP="00272189">
      <w:pPr>
        <w:spacing w:beforeLines="50" w:before="120" w:afterLines="50" w:after="120"/>
        <w:rPr>
          <w:rFonts w:asciiTheme="majorHAnsi" w:hAnsiTheme="majorHAnsi" w:cstheme="majorHAnsi"/>
        </w:rPr>
      </w:pPr>
      <w:r>
        <w:rPr>
          <w:rFonts w:asciiTheme="majorHAnsi" w:hAnsiTheme="majorHAnsi" w:cstheme="majorHAnsi"/>
          <w:lang w:val="en-GB"/>
        </w:rPr>
        <w:t xml:space="preserve">There is similar discussion in event triggered reporting in MIMO. </w:t>
      </w:r>
      <w:r w:rsidRPr="00DB4AB9">
        <w:t>The RAN1 agreement is as below, it states that if measured current beam RS is updated based on indicated TCI state, the counting for all new beams will be reset.</w:t>
      </w:r>
      <w:r>
        <w:t xml:space="preserve"> </w:t>
      </w:r>
      <w:r w:rsidR="00272189" w:rsidRPr="004E7291">
        <w:rPr>
          <w:rFonts w:asciiTheme="majorHAnsi" w:hAnsiTheme="majorHAnsi" w:cstheme="majorHAnsi"/>
        </w:rPr>
        <w:t>This behavior should be aligned in mobility scenarios to ensure unified handling of TCI updates.</w:t>
      </w:r>
    </w:p>
    <w:tbl>
      <w:tblPr>
        <w:tblStyle w:val="a4"/>
        <w:tblW w:w="0" w:type="auto"/>
        <w:tblLook w:val="04A0" w:firstRow="1" w:lastRow="0" w:firstColumn="1" w:lastColumn="0" w:noHBand="0" w:noVBand="1"/>
      </w:tblPr>
      <w:tblGrid>
        <w:gridCol w:w="10478"/>
      </w:tblGrid>
      <w:tr w:rsidR="00327753" w14:paraId="53E9D72F" w14:textId="77777777" w:rsidTr="007E215B">
        <w:tc>
          <w:tcPr>
            <w:tcW w:w="10478" w:type="dxa"/>
          </w:tcPr>
          <w:p w14:paraId="4DEECAC9" w14:textId="77777777" w:rsidR="00327753" w:rsidRPr="00E306E7" w:rsidRDefault="00327753" w:rsidP="007E215B">
            <w:r w:rsidRPr="00E306E7">
              <w:rPr>
                <w:highlight w:val="green"/>
              </w:rPr>
              <w:t>Agreement</w:t>
            </w:r>
          </w:p>
          <w:p w14:paraId="5CE6517E" w14:textId="77777777" w:rsidR="00327753" w:rsidRPr="00E306E7" w:rsidRDefault="00327753" w:rsidP="007E215B">
            <w:pPr>
              <w:snapToGrid w:val="0"/>
              <w:jc w:val="both"/>
              <w:rPr>
                <w:szCs w:val="18"/>
              </w:rPr>
            </w:pPr>
            <w:r w:rsidRPr="00E306E7">
              <w:rPr>
                <w:szCs w:val="18"/>
              </w:rPr>
              <w:t xml:space="preserve">Regarding triggering event determination for Event 2, on resetting the counting, the following </w:t>
            </w:r>
            <w:r w:rsidRPr="00E306E7">
              <w:rPr>
                <w:color w:val="FF0000"/>
                <w:szCs w:val="18"/>
              </w:rPr>
              <w:t xml:space="preserve">modification </w:t>
            </w:r>
            <w:r w:rsidRPr="00E306E7">
              <w:rPr>
                <w:szCs w:val="18"/>
              </w:rPr>
              <w:t xml:space="preserve">on the agreed Candidate #2 in RAN1#120 is supported. </w:t>
            </w:r>
          </w:p>
          <w:p w14:paraId="0AD12BC3" w14:textId="77777777" w:rsidR="00327753" w:rsidRPr="00E306E7" w:rsidRDefault="00327753" w:rsidP="00327753">
            <w:pPr>
              <w:pStyle w:val="a5"/>
              <w:numPr>
                <w:ilvl w:val="0"/>
                <w:numId w:val="26"/>
              </w:numPr>
              <w:overflowPunct w:val="0"/>
              <w:autoSpaceDE w:val="0"/>
              <w:autoSpaceDN w:val="0"/>
              <w:adjustRightInd w:val="0"/>
              <w:spacing w:after="180"/>
              <w:ind w:firstLineChars="0"/>
              <w:contextualSpacing/>
              <w:textAlignment w:val="baseline"/>
            </w:pPr>
            <w:r w:rsidRPr="00E306E7">
              <w:t xml:space="preserve">Candidate#2: </w:t>
            </w:r>
            <w:r w:rsidRPr="00E306E7">
              <w:rPr>
                <w:strike/>
                <w:color w:val="FF0000"/>
              </w:rPr>
              <w:t>[</w:t>
            </w:r>
            <w:r w:rsidRPr="00E306E7">
              <w:t xml:space="preserve">The measured current beam </w:t>
            </w:r>
            <w:r w:rsidRPr="00E306E7">
              <w:rPr>
                <w:color w:val="FF0000"/>
              </w:rPr>
              <w:t xml:space="preserve">RS is updated </w:t>
            </w:r>
            <w:r w:rsidRPr="00E306E7">
              <w:t>based on</w:t>
            </w:r>
            <w:r w:rsidRPr="00E306E7">
              <w:rPr>
                <w:strike/>
                <w:color w:val="FF0000"/>
              </w:rPr>
              <w:t>]</w:t>
            </w:r>
            <w:r w:rsidRPr="00E306E7">
              <w:t xml:space="preserve"> indicated TCI state </w:t>
            </w:r>
            <w:r w:rsidRPr="00E306E7">
              <w:rPr>
                <w:strike/>
                <w:color w:val="FF0000"/>
              </w:rPr>
              <w:t>is updated</w:t>
            </w:r>
            <w:r w:rsidRPr="00E306E7">
              <w:t>;</w:t>
            </w:r>
          </w:p>
          <w:p w14:paraId="15889B47" w14:textId="77777777" w:rsidR="00327753" w:rsidRPr="00E306E7" w:rsidRDefault="00327753" w:rsidP="00327753">
            <w:pPr>
              <w:pStyle w:val="a5"/>
              <w:numPr>
                <w:ilvl w:val="1"/>
                <w:numId w:val="27"/>
              </w:numPr>
              <w:overflowPunct w:val="0"/>
              <w:autoSpaceDE w:val="0"/>
              <w:autoSpaceDN w:val="0"/>
              <w:adjustRightInd w:val="0"/>
              <w:spacing w:after="180"/>
              <w:ind w:firstLineChars="0"/>
              <w:contextualSpacing/>
              <w:textAlignment w:val="baseline"/>
            </w:pPr>
            <w:r w:rsidRPr="00E306E7">
              <w:t>In such case, the UE need</w:t>
            </w:r>
            <w:r w:rsidRPr="00E306E7">
              <w:rPr>
                <w:color w:val="FF0000"/>
              </w:rPr>
              <w:t>s</w:t>
            </w:r>
            <w:r w:rsidRPr="00E306E7">
              <w:t xml:space="preserve"> to reset the counting for all new beams.</w:t>
            </w:r>
          </w:p>
          <w:p w14:paraId="34B9B88D" w14:textId="77777777" w:rsidR="00327753" w:rsidRPr="00F5211C" w:rsidRDefault="00327753" w:rsidP="00327753">
            <w:pPr>
              <w:pStyle w:val="a5"/>
              <w:numPr>
                <w:ilvl w:val="1"/>
                <w:numId w:val="27"/>
              </w:numPr>
              <w:overflowPunct w:val="0"/>
              <w:autoSpaceDE w:val="0"/>
              <w:autoSpaceDN w:val="0"/>
              <w:adjustRightInd w:val="0"/>
              <w:spacing w:after="180"/>
              <w:ind w:firstLineChars="0"/>
              <w:contextualSpacing/>
              <w:textAlignment w:val="baseline"/>
              <w:rPr>
                <w:rFonts w:ascii="宋体" w:hAnsi="宋体" w:cs="宋体"/>
                <w:sz w:val="24"/>
                <w:szCs w:val="24"/>
              </w:rPr>
            </w:pPr>
            <w:r w:rsidRPr="00E306E7">
              <w:t>FFS: Further details on the update (if necessary)</w:t>
            </w:r>
            <w:r>
              <w:t>.</w:t>
            </w:r>
          </w:p>
        </w:tc>
      </w:tr>
    </w:tbl>
    <w:p w14:paraId="4CF0F75F" w14:textId="55A064D8" w:rsidR="00327753" w:rsidRPr="00327753" w:rsidRDefault="00327753" w:rsidP="00327753">
      <w:pPr>
        <w:spacing w:beforeLines="50" w:before="120" w:afterLines="50" w:after="120"/>
        <w:rPr>
          <w:b/>
          <w:bCs/>
        </w:rPr>
      </w:pPr>
      <w:r w:rsidRPr="00327753">
        <w:rPr>
          <w:rFonts w:hint="eastAsia"/>
          <w:b/>
          <w:bCs/>
        </w:rPr>
        <w:t>O</w:t>
      </w:r>
      <w:r w:rsidRPr="00327753">
        <w:rPr>
          <w:b/>
          <w:bCs/>
        </w:rPr>
        <w:t>bservation</w:t>
      </w:r>
      <w:r>
        <w:rPr>
          <w:b/>
          <w:bCs/>
        </w:rPr>
        <w:t xml:space="preserve"> 1</w:t>
      </w:r>
      <w:r w:rsidRPr="00327753">
        <w:rPr>
          <w:b/>
          <w:bCs/>
        </w:rPr>
        <w:t xml:space="preserve">: </w:t>
      </w:r>
      <w:r>
        <w:rPr>
          <w:b/>
          <w:bCs/>
        </w:rPr>
        <w:t>In MIMO, t</w:t>
      </w:r>
      <w:r w:rsidRPr="00327753">
        <w:rPr>
          <w:b/>
          <w:bCs/>
        </w:rPr>
        <w:t>he measured current beam RS is updated based on indicated TCI state, in such case, the UE needs to reset the counting for all new beams.</w:t>
      </w:r>
    </w:p>
    <w:p w14:paraId="141F2197" w14:textId="32530A57" w:rsidR="00327753" w:rsidRPr="00327753" w:rsidRDefault="00327753" w:rsidP="00C63EAA">
      <w:pPr>
        <w:spacing w:beforeLines="50" w:before="120" w:afterLines="50" w:after="120"/>
        <w:rPr>
          <w:rFonts w:asciiTheme="majorHAnsi" w:hAnsiTheme="majorHAnsi" w:cstheme="majorHAnsi"/>
        </w:rPr>
      </w:pPr>
      <w:r>
        <w:rPr>
          <w:rFonts w:asciiTheme="majorHAnsi" w:hAnsiTheme="majorHAnsi" w:cstheme="majorHAnsi"/>
        </w:rPr>
        <w:t>Therefore, we suggest to keep consistency between event triggered L1 reporting for MIMO and mobility. There is no need to capture such assumption of option 1.</w:t>
      </w:r>
    </w:p>
    <w:p w14:paraId="43BD9F01" w14:textId="29702377" w:rsidR="00327753" w:rsidRPr="00327753" w:rsidRDefault="00327753" w:rsidP="00327753">
      <w:pPr>
        <w:spacing w:beforeLines="50" w:before="120" w:afterLines="50" w:after="120"/>
        <w:rPr>
          <w:rFonts w:asciiTheme="majorHAnsi" w:hAnsiTheme="majorHAnsi" w:cstheme="majorHAnsi"/>
          <w:b/>
          <w:bCs/>
        </w:rPr>
      </w:pPr>
      <w:r w:rsidRPr="00327753">
        <w:rPr>
          <w:rFonts w:asciiTheme="majorHAnsi" w:hAnsiTheme="majorHAnsi" w:cstheme="majorHAnsi"/>
          <w:b/>
          <w:bCs/>
          <w:lang w:val="en-GB"/>
        </w:rPr>
        <w:t>Proposal</w:t>
      </w:r>
      <w:r>
        <w:rPr>
          <w:rFonts w:asciiTheme="majorHAnsi" w:hAnsiTheme="majorHAnsi" w:cstheme="majorHAnsi"/>
          <w:b/>
          <w:bCs/>
          <w:lang w:val="en-GB"/>
        </w:rPr>
        <w:t xml:space="preserve"> 3</w:t>
      </w:r>
      <w:r w:rsidRPr="00327753">
        <w:rPr>
          <w:rFonts w:asciiTheme="majorHAnsi" w:hAnsiTheme="majorHAnsi" w:cstheme="majorHAnsi"/>
          <w:b/>
          <w:bCs/>
          <w:lang w:val="en-GB"/>
        </w:rPr>
        <w:t xml:space="preserve">: </w:t>
      </w:r>
      <w:r>
        <w:rPr>
          <w:rFonts w:asciiTheme="majorHAnsi" w:hAnsiTheme="majorHAnsi" w:cstheme="majorHAnsi"/>
          <w:b/>
          <w:bCs/>
        </w:rPr>
        <w:t>S</w:t>
      </w:r>
      <w:r w:rsidRPr="00327753">
        <w:rPr>
          <w:rFonts w:asciiTheme="majorHAnsi" w:hAnsiTheme="majorHAnsi" w:cstheme="majorHAnsi"/>
          <w:b/>
          <w:bCs/>
        </w:rPr>
        <w:t xml:space="preserve">uggest to keep consistency between event triggered L1 reporting for MIMO and mobility. </w:t>
      </w:r>
      <w:r w:rsidR="00272189" w:rsidRPr="00272189">
        <w:rPr>
          <w:rFonts w:asciiTheme="majorHAnsi" w:hAnsiTheme="majorHAnsi" w:cstheme="majorHAnsi"/>
          <w:b/>
          <w:bCs/>
        </w:rPr>
        <w:t>The assumptions listed in Option 1 (e.g., no TCI change during evaluation) need not be explicitly captured in core requirements.</w:t>
      </w:r>
    </w:p>
    <w:p w14:paraId="6832CDE5" w14:textId="1AAC391F" w:rsidR="005A61B6" w:rsidRPr="00437E0A" w:rsidRDefault="006E5755" w:rsidP="00437E0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lang w:val="en-GB"/>
        </w:rPr>
      </w:pPr>
      <w:r w:rsidRPr="00437E0A">
        <w:rPr>
          <w:rFonts w:asciiTheme="majorHAnsi" w:hAnsiTheme="majorHAnsi" w:cstheme="majorHAnsi"/>
          <w:sz w:val="36"/>
          <w:lang w:val="en-GB"/>
        </w:rPr>
        <w:t>Conclusion</w:t>
      </w:r>
    </w:p>
    <w:p w14:paraId="6361F996" w14:textId="3D0C18C8" w:rsidR="00363556" w:rsidRDefault="00DE3EAA" w:rsidP="00AF606B">
      <w:pPr>
        <w:spacing w:afterLines="50" w:after="120"/>
        <w:rPr>
          <w:rFonts w:asciiTheme="majorHAnsi" w:hAnsiTheme="majorHAnsi" w:cstheme="majorHAnsi"/>
        </w:rPr>
      </w:pPr>
      <w:r w:rsidRPr="004B4930">
        <w:rPr>
          <w:rFonts w:asciiTheme="majorHAnsi" w:hAnsiTheme="majorHAnsi" w:cstheme="majorHAnsi"/>
        </w:rPr>
        <w:t>In this contribution, we provide the following proposals</w:t>
      </w:r>
      <w:r w:rsidRPr="004B4930">
        <w:rPr>
          <w:rFonts w:asciiTheme="majorHAnsi" w:hAnsiTheme="majorHAnsi" w:cstheme="majorHAnsi"/>
        </w:rPr>
        <w:t>：</w:t>
      </w:r>
    </w:p>
    <w:p w14:paraId="141F96A3" w14:textId="67F5C328" w:rsidR="00187299" w:rsidRDefault="00187299" w:rsidP="00AF606B">
      <w:pPr>
        <w:spacing w:afterLines="50" w:after="120"/>
        <w:rPr>
          <w:b/>
          <w:bCs/>
          <w:lang w:val="en-GB"/>
        </w:rPr>
      </w:pPr>
      <w:r w:rsidRPr="00ED61D9">
        <w:rPr>
          <w:rFonts w:hint="eastAsia"/>
          <w:b/>
          <w:bCs/>
          <w:lang w:val="en-GB"/>
        </w:rPr>
        <w:t>P</w:t>
      </w:r>
      <w:r w:rsidRPr="00ED61D9">
        <w:rPr>
          <w:b/>
          <w:bCs/>
          <w:lang w:val="en-GB"/>
        </w:rPr>
        <w:t>roposal</w:t>
      </w:r>
      <w:r>
        <w:rPr>
          <w:b/>
          <w:bCs/>
          <w:lang w:val="en-GB"/>
        </w:rPr>
        <w:t xml:space="preserve"> 1</w:t>
      </w:r>
      <w:r w:rsidRPr="00ED61D9">
        <w:rPr>
          <w:b/>
          <w:bCs/>
          <w:lang w:val="en-GB"/>
        </w:rPr>
        <w:t xml:space="preserve">: </w:t>
      </w:r>
      <w:r>
        <w:rPr>
          <w:b/>
          <w:bCs/>
          <w:lang w:val="en-GB"/>
        </w:rPr>
        <w:t xml:space="preserve">RAN4 to define UE capability for </w:t>
      </w:r>
      <w:r w:rsidRPr="005310DC">
        <w:rPr>
          <w:b/>
          <w:bCs/>
          <w:lang w:val="en-GB"/>
        </w:rPr>
        <w:t>Event Triggering and Reporting Criteria for LTM</w:t>
      </w:r>
      <w:r>
        <w:rPr>
          <w:b/>
          <w:bCs/>
          <w:lang w:val="en-GB"/>
        </w:rPr>
        <w:t>.</w:t>
      </w:r>
    </w:p>
    <w:p w14:paraId="03C8A865" w14:textId="77777777" w:rsidR="00272189" w:rsidRDefault="00272189" w:rsidP="00272189">
      <w:pPr>
        <w:spacing w:beforeLines="50" w:before="120" w:afterLines="50" w:after="120"/>
        <w:rPr>
          <w:rFonts w:asciiTheme="majorHAnsi" w:hAnsiTheme="majorHAnsi" w:cstheme="majorHAnsi"/>
          <w:b/>
          <w:bCs/>
          <w:lang w:val="en-GB"/>
        </w:rPr>
      </w:pPr>
      <w:r w:rsidRPr="00CE52F1">
        <w:rPr>
          <w:rFonts w:asciiTheme="majorHAnsi" w:hAnsiTheme="majorHAnsi" w:cstheme="majorHAnsi"/>
          <w:b/>
          <w:bCs/>
          <w:lang w:val="en-GB"/>
        </w:rPr>
        <w:t>Proposal</w:t>
      </w:r>
      <w:r>
        <w:rPr>
          <w:rFonts w:asciiTheme="majorHAnsi" w:hAnsiTheme="majorHAnsi" w:cstheme="majorHAnsi"/>
          <w:b/>
          <w:bCs/>
          <w:lang w:val="en-GB"/>
        </w:rPr>
        <w:t xml:space="preserve"> 2</w:t>
      </w:r>
      <w:r w:rsidRPr="00CE52F1">
        <w:rPr>
          <w:rFonts w:asciiTheme="majorHAnsi" w:hAnsiTheme="majorHAnsi" w:cstheme="majorHAnsi"/>
          <w:b/>
          <w:bCs/>
          <w:lang w:val="en-GB"/>
        </w:rPr>
        <w:t xml:space="preserve">: </w:t>
      </w:r>
      <w:r>
        <w:rPr>
          <w:rFonts w:asciiTheme="majorHAnsi" w:hAnsiTheme="majorHAnsi" w:cstheme="majorHAnsi"/>
          <w:b/>
          <w:bCs/>
          <w:lang w:val="en-GB"/>
        </w:rPr>
        <w:t xml:space="preserve">For multiple beams </w:t>
      </w:r>
      <w:r w:rsidRPr="00CE52F1">
        <w:rPr>
          <w:rFonts w:asciiTheme="majorHAnsi" w:hAnsiTheme="majorHAnsi" w:cstheme="majorHAnsi"/>
          <w:b/>
          <w:bCs/>
          <w:lang w:val="en-GB"/>
        </w:rPr>
        <w:t>with different measurement period</w:t>
      </w:r>
      <w:r>
        <w:rPr>
          <w:rFonts w:asciiTheme="majorHAnsi" w:hAnsiTheme="majorHAnsi" w:cstheme="majorHAnsi"/>
          <w:b/>
          <w:bCs/>
          <w:lang w:val="en-GB"/>
        </w:rPr>
        <w:t xml:space="preserve">, </w:t>
      </w:r>
      <w:r w:rsidRPr="00CE52F1">
        <w:rPr>
          <w:rFonts w:asciiTheme="majorHAnsi" w:hAnsiTheme="majorHAnsi" w:cstheme="majorHAnsi"/>
          <w:b/>
          <w:bCs/>
          <w:lang w:val="en-GB"/>
        </w:rPr>
        <w:t xml:space="preserve">the </w:t>
      </w:r>
      <w:r>
        <w:rPr>
          <w:rFonts w:asciiTheme="majorHAnsi" w:hAnsiTheme="majorHAnsi" w:cstheme="majorHAnsi"/>
          <w:b/>
          <w:bCs/>
          <w:lang w:val="en-GB"/>
        </w:rPr>
        <w:t xml:space="preserve">maximum measurement period will be considered as measurement delay to ensure simplicity and </w:t>
      </w:r>
      <w:r w:rsidRPr="00272189">
        <w:rPr>
          <w:rFonts w:asciiTheme="majorHAnsi" w:hAnsiTheme="majorHAnsi" w:cstheme="majorHAnsi"/>
          <w:b/>
          <w:bCs/>
          <w:lang w:val="en-GB"/>
        </w:rPr>
        <w:t>consistency with existing standards</w:t>
      </w:r>
      <w:r w:rsidRPr="00CE52F1">
        <w:rPr>
          <w:rFonts w:asciiTheme="majorHAnsi" w:hAnsiTheme="majorHAnsi" w:cstheme="majorHAnsi"/>
          <w:b/>
          <w:bCs/>
          <w:lang w:val="en-GB"/>
        </w:rPr>
        <w:t>.</w:t>
      </w:r>
      <w:r>
        <w:rPr>
          <w:rFonts w:asciiTheme="majorHAnsi" w:hAnsiTheme="majorHAnsi" w:cstheme="majorHAnsi"/>
          <w:b/>
          <w:bCs/>
          <w:lang w:val="en-GB"/>
        </w:rPr>
        <w:t xml:space="preserve"> </w:t>
      </w:r>
    </w:p>
    <w:p w14:paraId="0BF443B8" w14:textId="686B0D9C" w:rsidR="00327753" w:rsidRDefault="00327753" w:rsidP="00327753">
      <w:pPr>
        <w:spacing w:beforeLines="50" w:before="120" w:afterLines="50" w:after="120"/>
        <w:rPr>
          <w:b/>
          <w:bCs/>
        </w:rPr>
      </w:pPr>
      <w:r w:rsidRPr="00327753">
        <w:rPr>
          <w:rFonts w:hint="eastAsia"/>
          <w:b/>
          <w:bCs/>
        </w:rPr>
        <w:t>O</w:t>
      </w:r>
      <w:r w:rsidRPr="00327753">
        <w:rPr>
          <w:b/>
          <w:bCs/>
        </w:rPr>
        <w:t>bservation 1: In MIMO, the measured current beam RS is updated based on indicated TCI state, in such case, the UE needs to reset the counting for all new beams.</w:t>
      </w:r>
    </w:p>
    <w:p w14:paraId="7B1CFB1D" w14:textId="77777777" w:rsidR="00272189" w:rsidRPr="00272189" w:rsidRDefault="00272189" w:rsidP="00272189">
      <w:pPr>
        <w:spacing w:beforeLines="50" w:before="120" w:afterLines="50" w:after="120"/>
        <w:rPr>
          <w:rFonts w:asciiTheme="majorHAnsi" w:hAnsiTheme="majorHAnsi" w:cstheme="majorHAnsi"/>
          <w:b/>
          <w:bCs/>
        </w:rPr>
      </w:pPr>
      <w:r w:rsidRPr="00272189">
        <w:rPr>
          <w:rFonts w:asciiTheme="majorHAnsi" w:hAnsiTheme="majorHAnsi" w:cstheme="majorHAnsi"/>
          <w:b/>
          <w:bCs/>
          <w:lang w:val="en-GB"/>
        </w:rPr>
        <w:t xml:space="preserve">Proposal 3: </w:t>
      </w:r>
      <w:r w:rsidRPr="00272189">
        <w:rPr>
          <w:rFonts w:asciiTheme="majorHAnsi" w:hAnsiTheme="majorHAnsi" w:cstheme="majorHAnsi"/>
          <w:b/>
          <w:bCs/>
        </w:rPr>
        <w:t>Suggest to keep consistency between event triggered L1 reporting for MIMO and mobility. The assumptions listed in Option 1 (e.g., no TCI change during evaluation) need not be explicitly captured in core requirements.</w:t>
      </w:r>
    </w:p>
    <w:p w14:paraId="7DCF4075" w14:textId="77777777" w:rsidR="00F50240" w:rsidRPr="00CE52F1" w:rsidRDefault="00F50240" w:rsidP="00437E0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lang w:val="en-GB"/>
        </w:rPr>
      </w:pPr>
      <w:r w:rsidRPr="00CE52F1">
        <w:rPr>
          <w:rFonts w:asciiTheme="majorHAnsi" w:hAnsiTheme="majorHAnsi" w:cstheme="majorHAnsi"/>
          <w:sz w:val="36"/>
          <w:lang w:val="en-GB"/>
        </w:rPr>
        <w:t xml:space="preserve">Reference </w:t>
      </w:r>
    </w:p>
    <w:sectPr w:rsidR="00F50240" w:rsidRPr="00CE52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F039" w14:textId="77777777" w:rsidR="003B06F5" w:rsidRDefault="003B06F5" w:rsidP="00AB0A25">
      <w:r>
        <w:separator/>
      </w:r>
    </w:p>
  </w:endnote>
  <w:endnote w:type="continuationSeparator" w:id="0">
    <w:p w14:paraId="31EFB6FF" w14:textId="77777777" w:rsidR="003B06F5" w:rsidRDefault="003B06F5"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722CA" w14:textId="77777777" w:rsidR="003B06F5" w:rsidRDefault="003B06F5" w:rsidP="00AB0A25">
      <w:r>
        <w:separator/>
      </w:r>
    </w:p>
  </w:footnote>
  <w:footnote w:type="continuationSeparator" w:id="0">
    <w:p w14:paraId="191CDB27" w14:textId="77777777" w:rsidR="003B06F5" w:rsidRDefault="003B06F5"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1C410F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40A3A53"/>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776ACA"/>
    <w:multiLevelType w:val="hybridMultilevel"/>
    <w:tmpl w:val="661EF386"/>
    <w:lvl w:ilvl="0" w:tplc="840E75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C1F57"/>
    <w:multiLevelType w:val="multilevel"/>
    <w:tmpl w:val="264EC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B45C57"/>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711013"/>
    <w:multiLevelType w:val="hybridMultilevel"/>
    <w:tmpl w:val="1B222700"/>
    <w:lvl w:ilvl="0" w:tplc="120A5A20">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8F576F"/>
    <w:multiLevelType w:val="hybridMultilevel"/>
    <w:tmpl w:val="28C69068"/>
    <w:lvl w:ilvl="0" w:tplc="8CA64BE0">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0"/>
  </w:num>
  <w:num w:numId="2">
    <w:abstractNumId w:val="0"/>
  </w:num>
  <w:num w:numId="3">
    <w:abstractNumId w:val="21"/>
  </w:num>
  <w:num w:numId="4">
    <w:abstractNumId w:val="5"/>
  </w:num>
  <w:num w:numId="5">
    <w:abstractNumId w:val="27"/>
  </w:num>
  <w:num w:numId="6">
    <w:abstractNumId w:val="22"/>
  </w:num>
  <w:num w:numId="7">
    <w:abstractNumId w:val="6"/>
  </w:num>
  <w:num w:numId="8">
    <w:abstractNumId w:val="17"/>
  </w:num>
  <w:num w:numId="9">
    <w:abstractNumId w:val="12"/>
  </w:num>
  <w:num w:numId="10">
    <w:abstractNumId w:val="23"/>
  </w:num>
  <w:num w:numId="11">
    <w:abstractNumId w:val="24"/>
  </w:num>
  <w:num w:numId="12">
    <w:abstractNumId w:val="11"/>
  </w:num>
  <w:num w:numId="13">
    <w:abstractNumId w:val="16"/>
  </w:num>
  <w:num w:numId="14">
    <w:abstractNumId w:val="18"/>
  </w:num>
  <w:num w:numId="15">
    <w:abstractNumId w:val="7"/>
  </w:num>
  <w:num w:numId="16">
    <w:abstractNumId w:val="8"/>
  </w:num>
  <w:num w:numId="17">
    <w:abstractNumId w:val="26"/>
  </w:num>
  <w:num w:numId="18">
    <w:abstractNumId w:val="19"/>
  </w:num>
  <w:num w:numId="19">
    <w:abstractNumId w:val="1"/>
  </w:num>
  <w:num w:numId="20">
    <w:abstractNumId w:val="2"/>
  </w:num>
  <w:num w:numId="21">
    <w:abstractNumId w:val="14"/>
  </w:num>
  <w:num w:numId="22">
    <w:abstractNumId w:val="3"/>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4"/>
  </w:num>
  <w:num w:numId="27">
    <w:abstractNumId w:val="20"/>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3BF"/>
    <w:rsid w:val="000065B4"/>
    <w:rsid w:val="00012634"/>
    <w:rsid w:val="00014654"/>
    <w:rsid w:val="00016CB8"/>
    <w:rsid w:val="000256A6"/>
    <w:rsid w:val="00026950"/>
    <w:rsid w:val="00027246"/>
    <w:rsid w:val="0003105C"/>
    <w:rsid w:val="000319AD"/>
    <w:rsid w:val="00033274"/>
    <w:rsid w:val="00044E9A"/>
    <w:rsid w:val="00044F30"/>
    <w:rsid w:val="000457B3"/>
    <w:rsid w:val="00046205"/>
    <w:rsid w:val="000516FF"/>
    <w:rsid w:val="0005195A"/>
    <w:rsid w:val="00054F5D"/>
    <w:rsid w:val="00055C5A"/>
    <w:rsid w:val="0005770D"/>
    <w:rsid w:val="00057F6E"/>
    <w:rsid w:val="000627DE"/>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A6D0A"/>
    <w:rsid w:val="000B1197"/>
    <w:rsid w:val="000B1A85"/>
    <w:rsid w:val="000B4F2A"/>
    <w:rsid w:val="000C0537"/>
    <w:rsid w:val="000C1185"/>
    <w:rsid w:val="000C3CBC"/>
    <w:rsid w:val="000C440B"/>
    <w:rsid w:val="000C4A1A"/>
    <w:rsid w:val="000C67C6"/>
    <w:rsid w:val="000C773F"/>
    <w:rsid w:val="000C77BA"/>
    <w:rsid w:val="000D0A4B"/>
    <w:rsid w:val="000D2D73"/>
    <w:rsid w:val="000D2E87"/>
    <w:rsid w:val="000D60EA"/>
    <w:rsid w:val="000D6375"/>
    <w:rsid w:val="000E580C"/>
    <w:rsid w:val="000E5F55"/>
    <w:rsid w:val="000E7E8C"/>
    <w:rsid w:val="000F2367"/>
    <w:rsid w:val="000F2D7B"/>
    <w:rsid w:val="000F55FA"/>
    <w:rsid w:val="000F59C5"/>
    <w:rsid w:val="000F5ADB"/>
    <w:rsid w:val="000F6B7E"/>
    <w:rsid w:val="000F7444"/>
    <w:rsid w:val="001000B1"/>
    <w:rsid w:val="00101DD4"/>
    <w:rsid w:val="00104A03"/>
    <w:rsid w:val="00104DAC"/>
    <w:rsid w:val="00105586"/>
    <w:rsid w:val="00106683"/>
    <w:rsid w:val="001069A0"/>
    <w:rsid w:val="00106FEA"/>
    <w:rsid w:val="0010720C"/>
    <w:rsid w:val="001102A1"/>
    <w:rsid w:val="0011087B"/>
    <w:rsid w:val="00110F69"/>
    <w:rsid w:val="00114C3E"/>
    <w:rsid w:val="00115766"/>
    <w:rsid w:val="001159A8"/>
    <w:rsid w:val="00120158"/>
    <w:rsid w:val="00120F7E"/>
    <w:rsid w:val="00120FF4"/>
    <w:rsid w:val="00121049"/>
    <w:rsid w:val="001224AF"/>
    <w:rsid w:val="00123945"/>
    <w:rsid w:val="00123A44"/>
    <w:rsid w:val="00123B4B"/>
    <w:rsid w:val="00125E1C"/>
    <w:rsid w:val="001265F9"/>
    <w:rsid w:val="00126C02"/>
    <w:rsid w:val="00131645"/>
    <w:rsid w:val="00131F0C"/>
    <w:rsid w:val="00133300"/>
    <w:rsid w:val="00135665"/>
    <w:rsid w:val="0014044D"/>
    <w:rsid w:val="001411BA"/>
    <w:rsid w:val="00142DF6"/>
    <w:rsid w:val="0014497C"/>
    <w:rsid w:val="001454F0"/>
    <w:rsid w:val="001457FC"/>
    <w:rsid w:val="00145A35"/>
    <w:rsid w:val="00147B80"/>
    <w:rsid w:val="001518E4"/>
    <w:rsid w:val="00152495"/>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354F"/>
    <w:rsid w:val="00183625"/>
    <w:rsid w:val="001847E6"/>
    <w:rsid w:val="00186EF0"/>
    <w:rsid w:val="00187299"/>
    <w:rsid w:val="00190F6E"/>
    <w:rsid w:val="00191C5C"/>
    <w:rsid w:val="00191EAC"/>
    <w:rsid w:val="00191F70"/>
    <w:rsid w:val="001922AF"/>
    <w:rsid w:val="00194FAE"/>
    <w:rsid w:val="001A0376"/>
    <w:rsid w:val="001A329F"/>
    <w:rsid w:val="001A3A6C"/>
    <w:rsid w:val="001A41F2"/>
    <w:rsid w:val="001B1180"/>
    <w:rsid w:val="001B4840"/>
    <w:rsid w:val="001B4B47"/>
    <w:rsid w:val="001B5295"/>
    <w:rsid w:val="001C0958"/>
    <w:rsid w:val="001C09DA"/>
    <w:rsid w:val="001C0ECC"/>
    <w:rsid w:val="001C3465"/>
    <w:rsid w:val="001C3AA2"/>
    <w:rsid w:val="001C71A4"/>
    <w:rsid w:val="001C71D0"/>
    <w:rsid w:val="001C751F"/>
    <w:rsid w:val="001C7601"/>
    <w:rsid w:val="001C7FB2"/>
    <w:rsid w:val="001D02C4"/>
    <w:rsid w:val="001D41D9"/>
    <w:rsid w:val="001D427D"/>
    <w:rsid w:val="001D6769"/>
    <w:rsid w:val="001D6C12"/>
    <w:rsid w:val="001D70C4"/>
    <w:rsid w:val="001D78DF"/>
    <w:rsid w:val="001E001F"/>
    <w:rsid w:val="001E01A5"/>
    <w:rsid w:val="001E2A20"/>
    <w:rsid w:val="001E4DA8"/>
    <w:rsid w:val="001E75E2"/>
    <w:rsid w:val="001F0912"/>
    <w:rsid w:val="001F0BA1"/>
    <w:rsid w:val="001F1EDB"/>
    <w:rsid w:val="001F22F3"/>
    <w:rsid w:val="001F4BAA"/>
    <w:rsid w:val="001F63A1"/>
    <w:rsid w:val="001F675E"/>
    <w:rsid w:val="00200952"/>
    <w:rsid w:val="002018C2"/>
    <w:rsid w:val="00206025"/>
    <w:rsid w:val="00207A1A"/>
    <w:rsid w:val="00211775"/>
    <w:rsid w:val="0021225B"/>
    <w:rsid w:val="00221D3C"/>
    <w:rsid w:val="002241C7"/>
    <w:rsid w:val="00224BC4"/>
    <w:rsid w:val="00227002"/>
    <w:rsid w:val="00233F2D"/>
    <w:rsid w:val="0023565F"/>
    <w:rsid w:val="00237571"/>
    <w:rsid w:val="0023775B"/>
    <w:rsid w:val="002404B1"/>
    <w:rsid w:val="002415A1"/>
    <w:rsid w:val="00243897"/>
    <w:rsid w:val="00244EA8"/>
    <w:rsid w:val="00247615"/>
    <w:rsid w:val="00252999"/>
    <w:rsid w:val="002569EE"/>
    <w:rsid w:val="0026034B"/>
    <w:rsid w:val="00261A5F"/>
    <w:rsid w:val="00263C64"/>
    <w:rsid w:val="00264CFC"/>
    <w:rsid w:val="00272189"/>
    <w:rsid w:val="002755DF"/>
    <w:rsid w:val="00281D31"/>
    <w:rsid w:val="00282C71"/>
    <w:rsid w:val="00285311"/>
    <w:rsid w:val="00286053"/>
    <w:rsid w:val="0029128D"/>
    <w:rsid w:val="00292502"/>
    <w:rsid w:val="002950EB"/>
    <w:rsid w:val="0029745C"/>
    <w:rsid w:val="002A3ABD"/>
    <w:rsid w:val="002A5845"/>
    <w:rsid w:val="002A7B14"/>
    <w:rsid w:val="002B1A82"/>
    <w:rsid w:val="002B1F32"/>
    <w:rsid w:val="002B1FCB"/>
    <w:rsid w:val="002B22AB"/>
    <w:rsid w:val="002B62FB"/>
    <w:rsid w:val="002B795B"/>
    <w:rsid w:val="002C12DC"/>
    <w:rsid w:val="002C14AC"/>
    <w:rsid w:val="002C206A"/>
    <w:rsid w:val="002C2496"/>
    <w:rsid w:val="002C24D8"/>
    <w:rsid w:val="002C6F46"/>
    <w:rsid w:val="002C7979"/>
    <w:rsid w:val="002D3ACC"/>
    <w:rsid w:val="002D427B"/>
    <w:rsid w:val="002D4FCC"/>
    <w:rsid w:val="002D5611"/>
    <w:rsid w:val="002D7359"/>
    <w:rsid w:val="002E0E42"/>
    <w:rsid w:val="002E266C"/>
    <w:rsid w:val="002E3546"/>
    <w:rsid w:val="002E3A7B"/>
    <w:rsid w:val="002E4C28"/>
    <w:rsid w:val="002F0CC6"/>
    <w:rsid w:val="002F1D6C"/>
    <w:rsid w:val="002F6FD8"/>
    <w:rsid w:val="00300FEC"/>
    <w:rsid w:val="00302C60"/>
    <w:rsid w:val="00303478"/>
    <w:rsid w:val="00303EE3"/>
    <w:rsid w:val="00304329"/>
    <w:rsid w:val="003049E1"/>
    <w:rsid w:val="00305868"/>
    <w:rsid w:val="0030783B"/>
    <w:rsid w:val="003126A7"/>
    <w:rsid w:val="00316CCE"/>
    <w:rsid w:val="003176BB"/>
    <w:rsid w:val="003225DC"/>
    <w:rsid w:val="0032344C"/>
    <w:rsid w:val="0032571C"/>
    <w:rsid w:val="00327753"/>
    <w:rsid w:val="003306EC"/>
    <w:rsid w:val="003322E3"/>
    <w:rsid w:val="00336273"/>
    <w:rsid w:val="0033673C"/>
    <w:rsid w:val="003367C2"/>
    <w:rsid w:val="0033775C"/>
    <w:rsid w:val="00341C8D"/>
    <w:rsid w:val="00341DB8"/>
    <w:rsid w:val="003458D2"/>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7405"/>
    <w:rsid w:val="003778D7"/>
    <w:rsid w:val="00377EA1"/>
    <w:rsid w:val="00380B05"/>
    <w:rsid w:val="00382453"/>
    <w:rsid w:val="00382FF0"/>
    <w:rsid w:val="00384B81"/>
    <w:rsid w:val="0038550C"/>
    <w:rsid w:val="00386FE7"/>
    <w:rsid w:val="003871B0"/>
    <w:rsid w:val="00387C33"/>
    <w:rsid w:val="0039167A"/>
    <w:rsid w:val="0039309F"/>
    <w:rsid w:val="003935C8"/>
    <w:rsid w:val="00396822"/>
    <w:rsid w:val="003A0C25"/>
    <w:rsid w:val="003A0C56"/>
    <w:rsid w:val="003A473A"/>
    <w:rsid w:val="003A4F31"/>
    <w:rsid w:val="003A5DD9"/>
    <w:rsid w:val="003A6E6E"/>
    <w:rsid w:val="003A7052"/>
    <w:rsid w:val="003B06F5"/>
    <w:rsid w:val="003B1922"/>
    <w:rsid w:val="003B5B34"/>
    <w:rsid w:val="003B7172"/>
    <w:rsid w:val="003B7C77"/>
    <w:rsid w:val="003C0513"/>
    <w:rsid w:val="003C125B"/>
    <w:rsid w:val="003C318E"/>
    <w:rsid w:val="003C41F4"/>
    <w:rsid w:val="003C6629"/>
    <w:rsid w:val="003C7A31"/>
    <w:rsid w:val="003D12A1"/>
    <w:rsid w:val="003D1853"/>
    <w:rsid w:val="003D6D11"/>
    <w:rsid w:val="003D7711"/>
    <w:rsid w:val="003D7F11"/>
    <w:rsid w:val="003E2B2C"/>
    <w:rsid w:val="003E325F"/>
    <w:rsid w:val="003E35CB"/>
    <w:rsid w:val="003E40A1"/>
    <w:rsid w:val="003E6D35"/>
    <w:rsid w:val="003F0523"/>
    <w:rsid w:val="003F0E68"/>
    <w:rsid w:val="003F15E1"/>
    <w:rsid w:val="003F5440"/>
    <w:rsid w:val="003F6D5C"/>
    <w:rsid w:val="004023CD"/>
    <w:rsid w:val="00403514"/>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5F77"/>
    <w:rsid w:val="00436643"/>
    <w:rsid w:val="00436B7A"/>
    <w:rsid w:val="0043794B"/>
    <w:rsid w:val="00437E0A"/>
    <w:rsid w:val="00442DA7"/>
    <w:rsid w:val="00450B03"/>
    <w:rsid w:val="00450C6B"/>
    <w:rsid w:val="00451903"/>
    <w:rsid w:val="00451E9B"/>
    <w:rsid w:val="00452D5D"/>
    <w:rsid w:val="0045307B"/>
    <w:rsid w:val="00453478"/>
    <w:rsid w:val="00455E71"/>
    <w:rsid w:val="004567A2"/>
    <w:rsid w:val="00460226"/>
    <w:rsid w:val="0046084B"/>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48DD"/>
    <w:rsid w:val="00495423"/>
    <w:rsid w:val="00495630"/>
    <w:rsid w:val="004972B4"/>
    <w:rsid w:val="00497994"/>
    <w:rsid w:val="004A03B0"/>
    <w:rsid w:val="004A0684"/>
    <w:rsid w:val="004A1658"/>
    <w:rsid w:val="004A29A2"/>
    <w:rsid w:val="004A4515"/>
    <w:rsid w:val="004A7DED"/>
    <w:rsid w:val="004A7F40"/>
    <w:rsid w:val="004B1FAE"/>
    <w:rsid w:val="004B2115"/>
    <w:rsid w:val="004B48E5"/>
    <w:rsid w:val="004B4930"/>
    <w:rsid w:val="004B5E1F"/>
    <w:rsid w:val="004B656F"/>
    <w:rsid w:val="004B72B6"/>
    <w:rsid w:val="004C102F"/>
    <w:rsid w:val="004C27DB"/>
    <w:rsid w:val="004C3F86"/>
    <w:rsid w:val="004C4EF5"/>
    <w:rsid w:val="004C62C9"/>
    <w:rsid w:val="004C6D71"/>
    <w:rsid w:val="004D0A04"/>
    <w:rsid w:val="004D1965"/>
    <w:rsid w:val="004D34A7"/>
    <w:rsid w:val="004D4D6A"/>
    <w:rsid w:val="004D52F3"/>
    <w:rsid w:val="004D698F"/>
    <w:rsid w:val="004D6AC6"/>
    <w:rsid w:val="004D7A08"/>
    <w:rsid w:val="004D7F2D"/>
    <w:rsid w:val="004E0013"/>
    <w:rsid w:val="004E03D7"/>
    <w:rsid w:val="004E1C86"/>
    <w:rsid w:val="004E26BD"/>
    <w:rsid w:val="004E29DE"/>
    <w:rsid w:val="004E418A"/>
    <w:rsid w:val="004E4BE0"/>
    <w:rsid w:val="004E4CA2"/>
    <w:rsid w:val="004E7291"/>
    <w:rsid w:val="004E7CC1"/>
    <w:rsid w:val="004F10E3"/>
    <w:rsid w:val="004F121A"/>
    <w:rsid w:val="004F1A3D"/>
    <w:rsid w:val="004F2815"/>
    <w:rsid w:val="004F3B9F"/>
    <w:rsid w:val="004F48A0"/>
    <w:rsid w:val="004F79A3"/>
    <w:rsid w:val="0050158F"/>
    <w:rsid w:val="00502AC1"/>
    <w:rsid w:val="00503570"/>
    <w:rsid w:val="00505EF3"/>
    <w:rsid w:val="005071B9"/>
    <w:rsid w:val="005104B0"/>
    <w:rsid w:val="00510F67"/>
    <w:rsid w:val="00513E5B"/>
    <w:rsid w:val="00520E83"/>
    <w:rsid w:val="0052200C"/>
    <w:rsid w:val="005222C2"/>
    <w:rsid w:val="00523A2F"/>
    <w:rsid w:val="00525939"/>
    <w:rsid w:val="00526125"/>
    <w:rsid w:val="00526BE2"/>
    <w:rsid w:val="00527D09"/>
    <w:rsid w:val="005310DC"/>
    <w:rsid w:val="005357DC"/>
    <w:rsid w:val="0053640E"/>
    <w:rsid w:val="00536C2D"/>
    <w:rsid w:val="00536EDF"/>
    <w:rsid w:val="0054272D"/>
    <w:rsid w:val="00542804"/>
    <w:rsid w:val="00545396"/>
    <w:rsid w:val="0054572D"/>
    <w:rsid w:val="00550EE8"/>
    <w:rsid w:val="0055104C"/>
    <w:rsid w:val="005514A7"/>
    <w:rsid w:val="005528B9"/>
    <w:rsid w:val="00552CB8"/>
    <w:rsid w:val="00556BEA"/>
    <w:rsid w:val="0056269B"/>
    <w:rsid w:val="005647F1"/>
    <w:rsid w:val="00565424"/>
    <w:rsid w:val="0057091C"/>
    <w:rsid w:val="00571A79"/>
    <w:rsid w:val="00571FE5"/>
    <w:rsid w:val="00574655"/>
    <w:rsid w:val="00585FF4"/>
    <w:rsid w:val="0059277D"/>
    <w:rsid w:val="005A0C06"/>
    <w:rsid w:val="005A0E6B"/>
    <w:rsid w:val="005A0F3B"/>
    <w:rsid w:val="005A15A0"/>
    <w:rsid w:val="005A2C94"/>
    <w:rsid w:val="005A2DEA"/>
    <w:rsid w:val="005A5726"/>
    <w:rsid w:val="005A58F3"/>
    <w:rsid w:val="005A61B6"/>
    <w:rsid w:val="005A7FCC"/>
    <w:rsid w:val="005B0469"/>
    <w:rsid w:val="005B0F7A"/>
    <w:rsid w:val="005C0986"/>
    <w:rsid w:val="005C129B"/>
    <w:rsid w:val="005C1AD1"/>
    <w:rsid w:val="005C52BD"/>
    <w:rsid w:val="005C65DF"/>
    <w:rsid w:val="005C7080"/>
    <w:rsid w:val="005D220A"/>
    <w:rsid w:val="005D4D8D"/>
    <w:rsid w:val="005D5FE5"/>
    <w:rsid w:val="005D6BCD"/>
    <w:rsid w:val="005D751E"/>
    <w:rsid w:val="005E0F51"/>
    <w:rsid w:val="005E34DE"/>
    <w:rsid w:val="005E3F0C"/>
    <w:rsid w:val="005E5161"/>
    <w:rsid w:val="005E54FC"/>
    <w:rsid w:val="005E5953"/>
    <w:rsid w:val="005E7B61"/>
    <w:rsid w:val="005F03ED"/>
    <w:rsid w:val="005F33AF"/>
    <w:rsid w:val="005F3821"/>
    <w:rsid w:val="005F3A63"/>
    <w:rsid w:val="005F425A"/>
    <w:rsid w:val="005F7CF2"/>
    <w:rsid w:val="00600A13"/>
    <w:rsid w:val="00600F1C"/>
    <w:rsid w:val="00602889"/>
    <w:rsid w:val="00604248"/>
    <w:rsid w:val="00621C7B"/>
    <w:rsid w:val="00622803"/>
    <w:rsid w:val="00624BF0"/>
    <w:rsid w:val="00626CAE"/>
    <w:rsid w:val="00630C8F"/>
    <w:rsid w:val="00630DB7"/>
    <w:rsid w:val="00631469"/>
    <w:rsid w:val="00631C9B"/>
    <w:rsid w:val="00632CEB"/>
    <w:rsid w:val="00637B7C"/>
    <w:rsid w:val="00641E1B"/>
    <w:rsid w:val="00644DA9"/>
    <w:rsid w:val="00645964"/>
    <w:rsid w:val="00645DB8"/>
    <w:rsid w:val="0065022B"/>
    <w:rsid w:val="00650497"/>
    <w:rsid w:val="00651065"/>
    <w:rsid w:val="00653631"/>
    <w:rsid w:val="00656D19"/>
    <w:rsid w:val="00657B62"/>
    <w:rsid w:val="00660290"/>
    <w:rsid w:val="006668EF"/>
    <w:rsid w:val="006705A7"/>
    <w:rsid w:val="00672F96"/>
    <w:rsid w:val="00673396"/>
    <w:rsid w:val="0068333B"/>
    <w:rsid w:val="00690D1E"/>
    <w:rsid w:val="00691EF3"/>
    <w:rsid w:val="006921A7"/>
    <w:rsid w:val="00692564"/>
    <w:rsid w:val="006929AA"/>
    <w:rsid w:val="006935A1"/>
    <w:rsid w:val="006966D9"/>
    <w:rsid w:val="006A08C4"/>
    <w:rsid w:val="006A1B09"/>
    <w:rsid w:val="006A4E6B"/>
    <w:rsid w:val="006A5AB9"/>
    <w:rsid w:val="006A6567"/>
    <w:rsid w:val="006A6DF2"/>
    <w:rsid w:val="006B289D"/>
    <w:rsid w:val="006B7418"/>
    <w:rsid w:val="006C0013"/>
    <w:rsid w:val="006C1DA1"/>
    <w:rsid w:val="006C415F"/>
    <w:rsid w:val="006C5F2A"/>
    <w:rsid w:val="006C6E4F"/>
    <w:rsid w:val="006C7133"/>
    <w:rsid w:val="006D0001"/>
    <w:rsid w:val="006D02AC"/>
    <w:rsid w:val="006D0622"/>
    <w:rsid w:val="006D3679"/>
    <w:rsid w:val="006D4916"/>
    <w:rsid w:val="006D4E08"/>
    <w:rsid w:val="006E3BA8"/>
    <w:rsid w:val="006E5370"/>
    <w:rsid w:val="006E548B"/>
    <w:rsid w:val="006E5755"/>
    <w:rsid w:val="006E63B9"/>
    <w:rsid w:val="006E7B46"/>
    <w:rsid w:val="006F001F"/>
    <w:rsid w:val="006F4223"/>
    <w:rsid w:val="006F4252"/>
    <w:rsid w:val="006F4850"/>
    <w:rsid w:val="006F5112"/>
    <w:rsid w:val="006F54FE"/>
    <w:rsid w:val="006F6796"/>
    <w:rsid w:val="006F7C82"/>
    <w:rsid w:val="00702E38"/>
    <w:rsid w:val="007035E3"/>
    <w:rsid w:val="00706836"/>
    <w:rsid w:val="007103CC"/>
    <w:rsid w:val="00710769"/>
    <w:rsid w:val="00712F22"/>
    <w:rsid w:val="00713CDF"/>
    <w:rsid w:val="00714EA7"/>
    <w:rsid w:val="007170D9"/>
    <w:rsid w:val="00717B2A"/>
    <w:rsid w:val="00721244"/>
    <w:rsid w:val="00721F03"/>
    <w:rsid w:val="00722463"/>
    <w:rsid w:val="00724017"/>
    <w:rsid w:val="00724B5B"/>
    <w:rsid w:val="00725A2E"/>
    <w:rsid w:val="00725F33"/>
    <w:rsid w:val="0073172D"/>
    <w:rsid w:val="00731B6D"/>
    <w:rsid w:val="00732AC7"/>
    <w:rsid w:val="0073316B"/>
    <w:rsid w:val="00733841"/>
    <w:rsid w:val="0073661B"/>
    <w:rsid w:val="007372AD"/>
    <w:rsid w:val="007402A7"/>
    <w:rsid w:val="007410A4"/>
    <w:rsid w:val="00741706"/>
    <w:rsid w:val="007418F2"/>
    <w:rsid w:val="00742A49"/>
    <w:rsid w:val="007445A8"/>
    <w:rsid w:val="0074532B"/>
    <w:rsid w:val="007454D4"/>
    <w:rsid w:val="00745EFD"/>
    <w:rsid w:val="00746645"/>
    <w:rsid w:val="00746A48"/>
    <w:rsid w:val="00747A02"/>
    <w:rsid w:val="00750272"/>
    <w:rsid w:val="00750ADC"/>
    <w:rsid w:val="00750CC6"/>
    <w:rsid w:val="00752C24"/>
    <w:rsid w:val="00753594"/>
    <w:rsid w:val="007535EA"/>
    <w:rsid w:val="00753D03"/>
    <w:rsid w:val="007544D3"/>
    <w:rsid w:val="00757519"/>
    <w:rsid w:val="007602B3"/>
    <w:rsid w:val="00763E47"/>
    <w:rsid w:val="00764FBB"/>
    <w:rsid w:val="00765475"/>
    <w:rsid w:val="00766C5B"/>
    <w:rsid w:val="007748E5"/>
    <w:rsid w:val="00774B9E"/>
    <w:rsid w:val="00775DF2"/>
    <w:rsid w:val="00777B0C"/>
    <w:rsid w:val="007835E5"/>
    <w:rsid w:val="00784411"/>
    <w:rsid w:val="00790499"/>
    <w:rsid w:val="007920F9"/>
    <w:rsid w:val="0079317E"/>
    <w:rsid w:val="00793C53"/>
    <w:rsid w:val="007942A2"/>
    <w:rsid w:val="007952CD"/>
    <w:rsid w:val="00795914"/>
    <w:rsid w:val="007A0070"/>
    <w:rsid w:val="007A0E08"/>
    <w:rsid w:val="007A1A28"/>
    <w:rsid w:val="007A30F7"/>
    <w:rsid w:val="007A7C8A"/>
    <w:rsid w:val="007B2E90"/>
    <w:rsid w:val="007B3CB6"/>
    <w:rsid w:val="007B3CBC"/>
    <w:rsid w:val="007B4177"/>
    <w:rsid w:val="007B5B13"/>
    <w:rsid w:val="007C1A30"/>
    <w:rsid w:val="007C6FCA"/>
    <w:rsid w:val="007C79EB"/>
    <w:rsid w:val="007D0A5E"/>
    <w:rsid w:val="007D23A5"/>
    <w:rsid w:val="007D26DD"/>
    <w:rsid w:val="007D38CF"/>
    <w:rsid w:val="007D5EBB"/>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FE4"/>
    <w:rsid w:val="00804C11"/>
    <w:rsid w:val="00804E5B"/>
    <w:rsid w:val="00806963"/>
    <w:rsid w:val="00810541"/>
    <w:rsid w:val="00813B82"/>
    <w:rsid w:val="008147EE"/>
    <w:rsid w:val="00815C7B"/>
    <w:rsid w:val="00816CD2"/>
    <w:rsid w:val="0081723A"/>
    <w:rsid w:val="00817244"/>
    <w:rsid w:val="00825DDD"/>
    <w:rsid w:val="008261C1"/>
    <w:rsid w:val="00827D7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5F0B"/>
    <w:rsid w:val="0086635A"/>
    <w:rsid w:val="00866EAF"/>
    <w:rsid w:val="008710E9"/>
    <w:rsid w:val="00872846"/>
    <w:rsid w:val="008768B5"/>
    <w:rsid w:val="00880786"/>
    <w:rsid w:val="00881889"/>
    <w:rsid w:val="00882886"/>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3689"/>
    <w:rsid w:val="008C5B16"/>
    <w:rsid w:val="008C5D57"/>
    <w:rsid w:val="008C6D52"/>
    <w:rsid w:val="008C6E2E"/>
    <w:rsid w:val="008C73C9"/>
    <w:rsid w:val="008D1580"/>
    <w:rsid w:val="008D1C59"/>
    <w:rsid w:val="008D2508"/>
    <w:rsid w:val="008D29F7"/>
    <w:rsid w:val="008D615D"/>
    <w:rsid w:val="008D6668"/>
    <w:rsid w:val="008E3EAA"/>
    <w:rsid w:val="008E4381"/>
    <w:rsid w:val="008E730E"/>
    <w:rsid w:val="008F3804"/>
    <w:rsid w:val="008F4365"/>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396B"/>
    <w:rsid w:val="00933E26"/>
    <w:rsid w:val="00934C51"/>
    <w:rsid w:val="0093603C"/>
    <w:rsid w:val="0094509A"/>
    <w:rsid w:val="00945A11"/>
    <w:rsid w:val="00945BE5"/>
    <w:rsid w:val="00955E1A"/>
    <w:rsid w:val="00957F18"/>
    <w:rsid w:val="00962539"/>
    <w:rsid w:val="00963E0B"/>
    <w:rsid w:val="00967A8C"/>
    <w:rsid w:val="00974ACB"/>
    <w:rsid w:val="00975D77"/>
    <w:rsid w:val="009761C1"/>
    <w:rsid w:val="00977372"/>
    <w:rsid w:val="009867FE"/>
    <w:rsid w:val="00987255"/>
    <w:rsid w:val="009900D0"/>
    <w:rsid w:val="00992158"/>
    <w:rsid w:val="009937DA"/>
    <w:rsid w:val="009950B9"/>
    <w:rsid w:val="00996DE8"/>
    <w:rsid w:val="00997030"/>
    <w:rsid w:val="00997FF9"/>
    <w:rsid w:val="009A002F"/>
    <w:rsid w:val="009A08D9"/>
    <w:rsid w:val="009A0AAC"/>
    <w:rsid w:val="009A117D"/>
    <w:rsid w:val="009A3E8D"/>
    <w:rsid w:val="009A3F74"/>
    <w:rsid w:val="009A6693"/>
    <w:rsid w:val="009A72F1"/>
    <w:rsid w:val="009A7704"/>
    <w:rsid w:val="009B0016"/>
    <w:rsid w:val="009B3071"/>
    <w:rsid w:val="009B7DD3"/>
    <w:rsid w:val="009C0269"/>
    <w:rsid w:val="009C3284"/>
    <w:rsid w:val="009C3447"/>
    <w:rsid w:val="009C4391"/>
    <w:rsid w:val="009D030B"/>
    <w:rsid w:val="009D0990"/>
    <w:rsid w:val="009D2E80"/>
    <w:rsid w:val="009E20E7"/>
    <w:rsid w:val="009E31D5"/>
    <w:rsid w:val="009E4528"/>
    <w:rsid w:val="009E5914"/>
    <w:rsid w:val="009E671B"/>
    <w:rsid w:val="009E7D08"/>
    <w:rsid w:val="009F00CF"/>
    <w:rsid w:val="009F02C2"/>
    <w:rsid w:val="009F0CE1"/>
    <w:rsid w:val="009F195D"/>
    <w:rsid w:val="009F3439"/>
    <w:rsid w:val="009F3925"/>
    <w:rsid w:val="009F3B18"/>
    <w:rsid w:val="00A04966"/>
    <w:rsid w:val="00A0570C"/>
    <w:rsid w:val="00A05D3C"/>
    <w:rsid w:val="00A117A4"/>
    <w:rsid w:val="00A11F94"/>
    <w:rsid w:val="00A12014"/>
    <w:rsid w:val="00A121CD"/>
    <w:rsid w:val="00A123D2"/>
    <w:rsid w:val="00A12E93"/>
    <w:rsid w:val="00A12EE3"/>
    <w:rsid w:val="00A1771E"/>
    <w:rsid w:val="00A17DB0"/>
    <w:rsid w:val="00A20674"/>
    <w:rsid w:val="00A262A3"/>
    <w:rsid w:val="00A27277"/>
    <w:rsid w:val="00A3254B"/>
    <w:rsid w:val="00A403AC"/>
    <w:rsid w:val="00A40B9F"/>
    <w:rsid w:val="00A43CD0"/>
    <w:rsid w:val="00A4463D"/>
    <w:rsid w:val="00A44CCF"/>
    <w:rsid w:val="00A458E9"/>
    <w:rsid w:val="00A46F60"/>
    <w:rsid w:val="00A50DCA"/>
    <w:rsid w:val="00A51339"/>
    <w:rsid w:val="00A51E87"/>
    <w:rsid w:val="00A5646D"/>
    <w:rsid w:val="00A63DCE"/>
    <w:rsid w:val="00A64ED7"/>
    <w:rsid w:val="00A678FB"/>
    <w:rsid w:val="00A67D61"/>
    <w:rsid w:val="00A705D5"/>
    <w:rsid w:val="00A720C0"/>
    <w:rsid w:val="00A75077"/>
    <w:rsid w:val="00A75D92"/>
    <w:rsid w:val="00A77B93"/>
    <w:rsid w:val="00A81D6F"/>
    <w:rsid w:val="00A829DE"/>
    <w:rsid w:val="00A84807"/>
    <w:rsid w:val="00A84D85"/>
    <w:rsid w:val="00A85162"/>
    <w:rsid w:val="00A94383"/>
    <w:rsid w:val="00AA1144"/>
    <w:rsid w:val="00AA287D"/>
    <w:rsid w:val="00AA3ABB"/>
    <w:rsid w:val="00AA3E57"/>
    <w:rsid w:val="00AA59FA"/>
    <w:rsid w:val="00AA64A3"/>
    <w:rsid w:val="00AA7600"/>
    <w:rsid w:val="00AA7B0A"/>
    <w:rsid w:val="00AB0A25"/>
    <w:rsid w:val="00AB0E8B"/>
    <w:rsid w:val="00AB2ED6"/>
    <w:rsid w:val="00AB5844"/>
    <w:rsid w:val="00AB6864"/>
    <w:rsid w:val="00AB7A9C"/>
    <w:rsid w:val="00AC0EC2"/>
    <w:rsid w:val="00AC32E7"/>
    <w:rsid w:val="00AC36CD"/>
    <w:rsid w:val="00AC40F0"/>
    <w:rsid w:val="00AC450A"/>
    <w:rsid w:val="00AC4EBD"/>
    <w:rsid w:val="00AC7117"/>
    <w:rsid w:val="00AD1E3C"/>
    <w:rsid w:val="00AD24DD"/>
    <w:rsid w:val="00AD27C3"/>
    <w:rsid w:val="00AD3D0C"/>
    <w:rsid w:val="00AD4DB5"/>
    <w:rsid w:val="00AD7A2C"/>
    <w:rsid w:val="00AE0108"/>
    <w:rsid w:val="00AE08AE"/>
    <w:rsid w:val="00AE3106"/>
    <w:rsid w:val="00AE4418"/>
    <w:rsid w:val="00AE4516"/>
    <w:rsid w:val="00AE7CC2"/>
    <w:rsid w:val="00AF0AA2"/>
    <w:rsid w:val="00AF1A16"/>
    <w:rsid w:val="00AF2D5E"/>
    <w:rsid w:val="00AF606B"/>
    <w:rsid w:val="00B016F2"/>
    <w:rsid w:val="00B01C79"/>
    <w:rsid w:val="00B02C9B"/>
    <w:rsid w:val="00B03325"/>
    <w:rsid w:val="00B0408C"/>
    <w:rsid w:val="00B054B8"/>
    <w:rsid w:val="00B05E0B"/>
    <w:rsid w:val="00B06345"/>
    <w:rsid w:val="00B06CEF"/>
    <w:rsid w:val="00B073D2"/>
    <w:rsid w:val="00B074C8"/>
    <w:rsid w:val="00B11C43"/>
    <w:rsid w:val="00B12284"/>
    <w:rsid w:val="00B21F15"/>
    <w:rsid w:val="00B2289E"/>
    <w:rsid w:val="00B22F8B"/>
    <w:rsid w:val="00B26F80"/>
    <w:rsid w:val="00B27FDC"/>
    <w:rsid w:val="00B30108"/>
    <w:rsid w:val="00B32A56"/>
    <w:rsid w:val="00B35E7B"/>
    <w:rsid w:val="00B36110"/>
    <w:rsid w:val="00B36993"/>
    <w:rsid w:val="00B378FF"/>
    <w:rsid w:val="00B40819"/>
    <w:rsid w:val="00B40A73"/>
    <w:rsid w:val="00B415D5"/>
    <w:rsid w:val="00B41E7C"/>
    <w:rsid w:val="00B42423"/>
    <w:rsid w:val="00B42523"/>
    <w:rsid w:val="00B45DAD"/>
    <w:rsid w:val="00B50ACF"/>
    <w:rsid w:val="00B50E66"/>
    <w:rsid w:val="00B56C63"/>
    <w:rsid w:val="00B6276A"/>
    <w:rsid w:val="00B62C18"/>
    <w:rsid w:val="00B637B6"/>
    <w:rsid w:val="00B64C35"/>
    <w:rsid w:val="00B65109"/>
    <w:rsid w:val="00B65193"/>
    <w:rsid w:val="00B66D82"/>
    <w:rsid w:val="00B70F30"/>
    <w:rsid w:val="00B72B2B"/>
    <w:rsid w:val="00B736B6"/>
    <w:rsid w:val="00B746B6"/>
    <w:rsid w:val="00B75D58"/>
    <w:rsid w:val="00B76455"/>
    <w:rsid w:val="00B7730C"/>
    <w:rsid w:val="00B77857"/>
    <w:rsid w:val="00B8396C"/>
    <w:rsid w:val="00B83EB3"/>
    <w:rsid w:val="00B84126"/>
    <w:rsid w:val="00B84127"/>
    <w:rsid w:val="00B848B2"/>
    <w:rsid w:val="00B926BD"/>
    <w:rsid w:val="00B9537F"/>
    <w:rsid w:val="00BA41BF"/>
    <w:rsid w:val="00BA63BF"/>
    <w:rsid w:val="00BA6685"/>
    <w:rsid w:val="00BB0BF1"/>
    <w:rsid w:val="00BB10B8"/>
    <w:rsid w:val="00BB76A5"/>
    <w:rsid w:val="00BC0248"/>
    <w:rsid w:val="00BC065A"/>
    <w:rsid w:val="00BC1BBA"/>
    <w:rsid w:val="00BC35EC"/>
    <w:rsid w:val="00BC479A"/>
    <w:rsid w:val="00BC6A89"/>
    <w:rsid w:val="00BC78F3"/>
    <w:rsid w:val="00BC797E"/>
    <w:rsid w:val="00BD0C8D"/>
    <w:rsid w:val="00BD135C"/>
    <w:rsid w:val="00BD6816"/>
    <w:rsid w:val="00BE04CF"/>
    <w:rsid w:val="00BE2A48"/>
    <w:rsid w:val="00BE40C2"/>
    <w:rsid w:val="00BE4CF3"/>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1E1C"/>
    <w:rsid w:val="00C333B0"/>
    <w:rsid w:val="00C35849"/>
    <w:rsid w:val="00C36777"/>
    <w:rsid w:val="00C37BBE"/>
    <w:rsid w:val="00C41D5C"/>
    <w:rsid w:val="00C42835"/>
    <w:rsid w:val="00C43212"/>
    <w:rsid w:val="00C44C44"/>
    <w:rsid w:val="00C46D38"/>
    <w:rsid w:val="00C4701D"/>
    <w:rsid w:val="00C51BFF"/>
    <w:rsid w:val="00C531A4"/>
    <w:rsid w:val="00C53C40"/>
    <w:rsid w:val="00C54CE0"/>
    <w:rsid w:val="00C54D38"/>
    <w:rsid w:val="00C55EF7"/>
    <w:rsid w:val="00C61860"/>
    <w:rsid w:val="00C62886"/>
    <w:rsid w:val="00C62906"/>
    <w:rsid w:val="00C62CC1"/>
    <w:rsid w:val="00C63EAA"/>
    <w:rsid w:val="00C67778"/>
    <w:rsid w:val="00C72522"/>
    <w:rsid w:val="00C7283C"/>
    <w:rsid w:val="00C73DA5"/>
    <w:rsid w:val="00C74307"/>
    <w:rsid w:val="00C74530"/>
    <w:rsid w:val="00C74E4C"/>
    <w:rsid w:val="00C756F9"/>
    <w:rsid w:val="00C7718A"/>
    <w:rsid w:val="00C77721"/>
    <w:rsid w:val="00C7792F"/>
    <w:rsid w:val="00C8137C"/>
    <w:rsid w:val="00C834CB"/>
    <w:rsid w:val="00C83DF1"/>
    <w:rsid w:val="00C84648"/>
    <w:rsid w:val="00C851EA"/>
    <w:rsid w:val="00C85894"/>
    <w:rsid w:val="00C919F9"/>
    <w:rsid w:val="00C9529A"/>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70B"/>
    <w:rsid w:val="00CC6B8B"/>
    <w:rsid w:val="00CC7364"/>
    <w:rsid w:val="00CC7C08"/>
    <w:rsid w:val="00CD0FDD"/>
    <w:rsid w:val="00CD1108"/>
    <w:rsid w:val="00CD2201"/>
    <w:rsid w:val="00CD3E9B"/>
    <w:rsid w:val="00CD4FF6"/>
    <w:rsid w:val="00CE0EBE"/>
    <w:rsid w:val="00CE1855"/>
    <w:rsid w:val="00CE18A6"/>
    <w:rsid w:val="00CE2508"/>
    <w:rsid w:val="00CE2647"/>
    <w:rsid w:val="00CE48ED"/>
    <w:rsid w:val="00CE52F1"/>
    <w:rsid w:val="00CE5BEF"/>
    <w:rsid w:val="00CE7F8B"/>
    <w:rsid w:val="00CF1154"/>
    <w:rsid w:val="00CF1EA8"/>
    <w:rsid w:val="00CF375C"/>
    <w:rsid w:val="00CF5D5A"/>
    <w:rsid w:val="00CF6B14"/>
    <w:rsid w:val="00CF7813"/>
    <w:rsid w:val="00CF7CCC"/>
    <w:rsid w:val="00CF7E17"/>
    <w:rsid w:val="00D0008D"/>
    <w:rsid w:val="00D00575"/>
    <w:rsid w:val="00D025BD"/>
    <w:rsid w:val="00D04003"/>
    <w:rsid w:val="00D0648A"/>
    <w:rsid w:val="00D147A4"/>
    <w:rsid w:val="00D1512E"/>
    <w:rsid w:val="00D17346"/>
    <w:rsid w:val="00D1761E"/>
    <w:rsid w:val="00D2000C"/>
    <w:rsid w:val="00D201F8"/>
    <w:rsid w:val="00D275C0"/>
    <w:rsid w:val="00D300EA"/>
    <w:rsid w:val="00D344CF"/>
    <w:rsid w:val="00D34714"/>
    <w:rsid w:val="00D37159"/>
    <w:rsid w:val="00D37237"/>
    <w:rsid w:val="00D50B5A"/>
    <w:rsid w:val="00D53828"/>
    <w:rsid w:val="00D551A6"/>
    <w:rsid w:val="00D619F6"/>
    <w:rsid w:val="00D61A55"/>
    <w:rsid w:val="00D623F3"/>
    <w:rsid w:val="00D66D8D"/>
    <w:rsid w:val="00D72E42"/>
    <w:rsid w:val="00D74953"/>
    <w:rsid w:val="00D7589C"/>
    <w:rsid w:val="00D76D0B"/>
    <w:rsid w:val="00D833AF"/>
    <w:rsid w:val="00D83781"/>
    <w:rsid w:val="00D914C1"/>
    <w:rsid w:val="00D934CE"/>
    <w:rsid w:val="00D93FEB"/>
    <w:rsid w:val="00D9493A"/>
    <w:rsid w:val="00D950BC"/>
    <w:rsid w:val="00D95764"/>
    <w:rsid w:val="00D95D71"/>
    <w:rsid w:val="00D97CFC"/>
    <w:rsid w:val="00DA057E"/>
    <w:rsid w:val="00DA2AFC"/>
    <w:rsid w:val="00DA6699"/>
    <w:rsid w:val="00DA6C9B"/>
    <w:rsid w:val="00DB13BA"/>
    <w:rsid w:val="00DB3BBA"/>
    <w:rsid w:val="00DB4222"/>
    <w:rsid w:val="00DB4CC5"/>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2EFA"/>
    <w:rsid w:val="00DE3EAA"/>
    <w:rsid w:val="00DE422E"/>
    <w:rsid w:val="00DE4675"/>
    <w:rsid w:val="00DF064D"/>
    <w:rsid w:val="00DF0B6D"/>
    <w:rsid w:val="00DF1705"/>
    <w:rsid w:val="00DF3159"/>
    <w:rsid w:val="00DF42BE"/>
    <w:rsid w:val="00DF533B"/>
    <w:rsid w:val="00E0298F"/>
    <w:rsid w:val="00E0342B"/>
    <w:rsid w:val="00E036A0"/>
    <w:rsid w:val="00E04B4D"/>
    <w:rsid w:val="00E10D33"/>
    <w:rsid w:val="00E10F88"/>
    <w:rsid w:val="00E111CB"/>
    <w:rsid w:val="00E13C00"/>
    <w:rsid w:val="00E140E3"/>
    <w:rsid w:val="00E15A09"/>
    <w:rsid w:val="00E16F13"/>
    <w:rsid w:val="00E21FFD"/>
    <w:rsid w:val="00E22554"/>
    <w:rsid w:val="00E23449"/>
    <w:rsid w:val="00E24E9C"/>
    <w:rsid w:val="00E30C3A"/>
    <w:rsid w:val="00E30EAF"/>
    <w:rsid w:val="00E31319"/>
    <w:rsid w:val="00E34132"/>
    <w:rsid w:val="00E36BA5"/>
    <w:rsid w:val="00E40545"/>
    <w:rsid w:val="00E407C1"/>
    <w:rsid w:val="00E41926"/>
    <w:rsid w:val="00E4252B"/>
    <w:rsid w:val="00E42B05"/>
    <w:rsid w:val="00E45BEC"/>
    <w:rsid w:val="00E47EFB"/>
    <w:rsid w:val="00E5055D"/>
    <w:rsid w:val="00E518D5"/>
    <w:rsid w:val="00E52354"/>
    <w:rsid w:val="00E54054"/>
    <w:rsid w:val="00E54579"/>
    <w:rsid w:val="00E54EB3"/>
    <w:rsid w:val="00E555BD"/>
    <w:rsid w:val="00E60BD1"/>
    <w:rsid w:val="00E60F25"/>
    <w:rsid w:val="00E64D28"/>
    <w:rsid w:val="00E652DF"/>
    <w:rsid w:val="00E6604E"/>
    <w:rsid w:val="00E664DF"/>
    <w:rsid w:val="00E74B10"/>
    <w:rsid w:val="00E76E09"/>
    <w:rsid w:val="00E77ED5"/>
    <w:rsid w:val="00E81F37"/>
    <w:rsid w:val="00E83A75"/>
    <w:rsid w:val="00E8592F"/>
    <w:rsid w:val="00E87BFA"/>
    <w:rsid w:val="00E908FD"/>
    <w:rsid w:val="00E91244"/>
    <w:rsid w:val="00E9185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6A03"/>
    <w:rsid w:val="00EB6A9D"/>
    <w:rsid w:val="00EC3673"/>
    <w:rsid w:val="00ED0B63"/>
    <w:rsid w:val="00ED3A59"/>
    <w:rsid w:val="00ED3F98"/>
    <w:rsid w:val="00ED3FA8"/>
    <w:rsid w:val="00ED4AEF"/>
    <w:rsid w:val="00ED581C"/>
    <w:rsid w:val="00ED61D9"/>
    <w:rsid w:val="00ED6A0D"/>
    <w:rsid w:val="00EE172E"/>
    <w:rsid w:val="00EE1C7F"/>
    <w:rsid w:val="00EE3077"/>
    <w:rsid w:val="00EE4A68"/>
    <w:rsid w:val="00EE4BC6"/>
    <w:rsid w:val="00EE5F13"/>
    <w:rsid w:val="00EE6688"/>
    <w:rsid w:val="00EF2541"/>
    <w:rsid w:val="00EF37A2"/>
    <w:rsid w:val="00EF736B"/>
    <w:rsid w:val="00EF74F6"/>
    <w:rsid w:val="00F00A54"/>
    <w:rsid w:val="00F02444"/>
    <w:rsid w:val="00F02804"/>
    <w:rsid w:val="00F02B5A"/>
    <w:rsid w:val="00F06927"/>
    <w:rsid w:val="00F10FCA"/>
    <w:rsid w:val="00F135EB"/>
    <w:rsid w:val="00F14CED"/>
    <w:rsid w:val="00F14D98"/>
    <w:rsid w:val="00F1652B"/>
    <w:rsid w:val="00F207BE"/>
    <w:rsid w:val="00F26EE6"/>
    <w:rsid w:val="00F27A5E"/>
    <w:rsid w:val="00F30765"/>
    <w:rsid w:val="00F347A9"/>
    <w:rsid w:val="00F37A0D"/>
    <w:rsid w:val="00F43D5B"/>
    <w:rsid w:val="00F44924"/>
    <w:rsid w:val="00F50240"/>
    <w:rsid w:val="00F5107C"/>
    <w:rsid w:val="00F52178"/>
    <w:rsid w:val="00F52D8B"/>
    <w:rsid w:val="00F54615"/>
    <w:rsid w:val="00F56F00"/>
    <w:rsid w:val="00F57135"/>
    <w:rsid w:val="00F62738"/>
    <w:rsid w:val="00F64A75"/>
    <w:rsid w:val="00F650CE"/>
    <w:rsid w:val="00F7121E"/>
    <w:rsid w:val="00F729E4"/>
    <w:rsid w:val="00F751FC"/>
    <w:rsid w:val="00F812A7"/>
    <w:rsid w:val="00F817F0"/>
    <w:rsid w:val="00F81AA5"/>
    <w:rsid w:val="00F8243D"/>
    <w:rsid w:val="00F83C06"/>
    <w:rsid w:val="00F85B3B"/>
    <w:rsid w:val="00F90CD4"/>
    <w:rsid w:val="00F92F6A"/>
    <w:rsid w:val="00F94E08"/>
    <w:rsid w:val="00F960AF"/>
    <w:rsid w:val="00F96457"/>
    <w:rsid w:val="00F96ECC"/>
    <w:rsid w:val="00F9784C"/>
    <w:rsid w:val="00F97999"/>
    <w:rsid w:val="00FA18E6"/>
    <w:rsid w:val="00FA6CF3"/>
    <w:rsid w:val="00FA7B53"/>
    <w:rsid w:val="00FA7D97"/>
    <w:rsid w:val="00FB0198"/>
    <w:rsid w:val="00FB1CC4"/>
    <w:rsid w:val="00FB58F9"/>
    <w:rsid w:val="00FC188D"/>
    <w:rsid w:val="00FC251F"/>
    <w:rsid w:val="00FC3AF1"/>
    <w:rsid w:val="00FC430C"/>
    <w:rsid w:val="00FC5F81"/>
    <w:rsid w:val="00FC7938"/>
    <w:rsid w:val="00FD0265"/>
    <w:rsid w:val="00FD585B"/>
    <w:rsid w:val="00FD5CCA"/>
    <w:rsid w:val="00FD7609"/>
    <w:rsid w:val="00FE061A"/>
    <w:rsid w:val="00FE7F37"/>
    <w:rsid w:val="00FF05E7"/>
    <w:rsid w:val="00FF06B6"/>
    <w:rsid w:val="00FF195F"/>
    <w:rsid w:val="00FF2222"/>
    <w:rsid w:val="00FF2A9B"/>
    <w:rsid w:val="00FF3999"/>
    <w:rsid w:val="00FF3C26"/>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41D9"/>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sz w:val="18"/>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style>
  <w:style w:type="paragraph" w:customStyle="1" w:styleId="B2">
    <w:name w:val="B2"/>
    <w:basedOn w:val="21"/>
    <w:link w:val="B2Char"/>
    <w:qFormat/>
    <w:rsid w:val="002241C7"/>
    <w:pPr>
      <w:spacing w:after="180"/>
      <w:ind w:leftChars="0" w:left="851" w:firstLineChars="0" w:hanging="284"/>
      <w:contextualSpacing w:val="0"/>
    </w:pPr>
    <w:rPr>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eastAsia="Malgun Gothic"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lang w:val="en-GB" w:eastAsia="en-US"/>
    </w:rPr>
  </w:style>
  <w:style w:type="paragraph" w:styleId="af">
    <w:name w:val="Normal (Web)"/>
    <w:basedOn w:val="a0"/>
    <w:uiPriority w:val="99"/>
    <w:unhideWhenUsed/>
    <w:rsid w:val="001C71A4"/>
    <w:pPr>
      <w:spacing w:before="100" w:beforeAutospacing="1" w:after="100" w:afterAutospacing="1"/>
    </w:pPr>
  </w:style>
  <w:style w:type="paragraph" w:customStyle="1" w:styleId="Doc-text2">
    <w:name w:val="Doc-text2"/>
    <w:basedOn w:val="a0"/>
    <w:link w:val="Doc-text2Char"/>
    <w:qFormat/>
    <w:rsid w:val="00E664DF"/>
    <w:pPr>
      <w:tabs>
        <w:tab w:val="left" w:pos="1622"/>
      </w:tabs>
      <w:overflowPunct w:val="0"/>
      <w:autoSpaceDE w:val="0"/>
      <w:autoSpaceDN w:val="0"/>
      <w:adjustRightInd w:val="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E664DF"/>
    <w:rPr>
      <w:rFonts w:ascii="Arial" w:eastAsia="Times New Roman" w:hAnsi="Arial" w:cs="Times New Roman"/>
      <w:kern w:val="0"/>
      <w:sz w:val="20"/>
      <w:szCs w:val="20"/>
      <w:lang w:val="en-GB" w:eastAsia="ja-JP"/>
    </w:rPr>
  </w:style>
  <w:style w:type="paragraph" w:customStyle="1" w:styleId="PL">
    <w:name w:val="PL"/>
    <w:link w:val="PLChar"/>
    <w:qFormat/>
    <w:rsid w:val="00997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97FF9"/>
    <w:rPr>
      <w:rFonts w:ascii="Courier New" w:eastAsia="Times New Roman" w:hAnsi="Courier New" w:cs="Times New Roman"/>
      <w:noProof/>
      <w:kern w:val="0"/>
      <w:sz w:val="16"/>
      <w:szCs w:val="20"/>
      <w:shd w:val="clear" w:color="auto" w:fill="E6E6E6"/>
      <w:lang w:val="en-GB" w:eastAsia="en-GB"/>
    </w:rPr>
  </w:style>
  <w:style w:type="character" w:customStyle="1" w:styleId="Char">
    <w:name w:val="列出段落 Char"/>
    <w:aliases w:val="- Bullets Char,목록 단락 Char,?? ?? Char,????? Char,リスト段落 Char,???? Char,Lista1 Char,彩色列表 - 强调文字颜色 1 Char"/>
    <w:uiPriority w:val="34"/>
    <w:qFormat/>
    <w:locked/>
    <w:rsid w:val="00872846"/>
    <w:rPr>
      <w:rFonts w:ascii="Calibri" w:eastAsia="Calibri" w:hAnsi="Calibri"/>
      <w:sz w:val="22"/>
      <w:szCs w:val="22"/>
      <w:lang w:eastAsia="en-US"/>
    </w:rPr>
  </w:style>
  <w:style w:type="paragraph" w:customStyle="1" w:styleId="3GPP">
    <w:name w:val="3GPP 正文"/>
    <w:basedOn w:val="a0"/>
    <w:link w:val="3GPPChar"/>
    <w:qFormat/>
    <w:rsid w:val="00872846"/>
    <w:pPr>
      <w:spacing w:after="180"/>
    </w:pPr>
    <w:rPr>
      <w:lang w:val="en-GB" w:eastAsia="ja-JP"/>
    </w:rPr>
  </w:style>
  <w:style w:type="character" w:customStyle="1" w:styleId="3GPPChar">
    <w:name w:val="3GPP 正文 Char"/>
    <w:link w:val="3GPP"/>
    <w:rsid w:val="00872846"/>
    <w:rPr>
      <w:rFonts w:ascii="Times New Roman" w:eastAsia="宋体" w:hAnsi="Times New Roman" w:cs="Times New Roman"/>
      <w:kern w:val="0"/>
      <w:sz w:val="20"/>
      <w:szCs w:val="20"/>
      <w:lang w:val="en-GB" w:eastAsia="ja-JP"/>
    </w:rPr>
  </w:style>
  <w:style w:type="paragraph" w:customStyle="1" w:styleId="ds-markdown-paragraph">
    <w:name w:val="ds-markdown-paragraph"/>
    <w:basedOn w:val="a0"/>
    <w:rsid w:val="004E7291"/>
    <w:pPr>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54772">
      <w:bodyDiv w:val="1"/>
      <w:marLeft w:val="0"/>
      <w:marRight w:val="0"/>
      <w:marTop w:val="0"/>
      <w:marBottom w:val="0"/>
      <w:divBdr>
        <w:top w:val="none" w:sz="0" w:space="0" w:color="auto"/>
        <w:left w:val="none" w:sz="0" w:space="0" w:color="auto"/>
        <w:bottom w:val="none" w:sz="0" w:space="0" w:color="auto"/>
        <w:right w:val="none" w:sz="0" w:space="0" w:color="auto"/>
      </w:divBdr>
    </w:div>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939996091">
      <w:bodyDiv w:val="1"/>
      <w:marLeft w:val="0"/>
      <w:marRight w:val="0"/>
      <w:marTop w:val="0"/>
      <w:marBottom w:val="0"/>
      <w:divBdr>
        <w:top w:val="none" w:sz="0" w:space="0" w:color="auto"/>
        <w:left w:val="none" w:sz="0" w:space="0" w:color="auto"/>
        <w:bottom w:val="none" w:sz="0" w:space="0" w:color="auto"/>
        <w:right w:val="none" w:sz="0" w:space="0" w:color="auto"/>
      </w:divBdr>
    </w:div>
    <w:div w:id="1032657433">
      <w:bodyDiv w:val="1"/>
      <w:marLeft w:val="0"/>
      <w:marRight w:val="0"/>
      <w:marTop w:val="0"/>
      <w:marBottom w:val="0"/>
      <w:divBdr>
        <w:top w:val="none" w:sz="0" w:space="0" w:color="auto"/>
        <w:left w:val="none" w:sz="0" w:space="0" w:color="auto"/>
        <w:bottom w:val="none" w:sz="0" w:space="0" w:color="auto"/>
        <w:right w:val="none" w:sz="0" w:space="0" w:color="auto"/>
      </w:divBdr>
      <w:divsChild>
        <w:div w:id="2004354906">
          <w:marLeft w:val="0"/>
          <w:marRight w:val="0"/>
          <w:marTop w:val="0"/>
          <w:marBottom w:val="0"/>
          <w:divBdr>
            <w:top w:val="none" w:sz="0" w:space="0" w:color="auto"/>
            <w:left w:val="none" w:sz="0" w:space="0" w:color="auto"/>
            <w:bottom w:val="none" w:sz="0" w:space="0" w:color="auto"/>
            <w:right w:val="none" w:sz="0" w:space="0" w:color="auto"/>
          </w:divBdr>
        </w:div>
        <w:div w:id="81341388">
          <w:marLeft w:val="0"/>
          <w:marRight w:val="0"/>
          <w:marTop w:val="0"/>
          <w:marBottom w:val="0"/>
          <w:divBdr>
            <w:top w:val="none" w:sz="0" w:space="0" w:color="auto"/>
            <w:left w:val="none" w:sz="0" w:space="0" w:color="auto"/>
            <w:bottom w:val="none" w:sz="0" w:space="0" w:color="auto"/>
            <w:right w:val="none" w:sz="0" w:space="0" w:color="auto"/>
          </w:divBdr>
        </w:div>
        <w:div w:id="1152261374">
          <w:marLeft w:val="0"/>
          <w:marRight w:val="0"/>
          <w:marTop w:val="0"/>
          <w:marBottom w:val="0"/>
          <w:divBdr>
            <w:top w:val="none" w:sz="0" w:space="0" w:color="auto"/>
            <w:left w:val="none" w:sz="0" w:space="0" w:color="auto"/>
            <w:bottom w:val="none" w:sz="0" w:space="0" w:color="auto"/>
            <w:right w:val="none" w:sz="0" w:space="0" w:color="auto"/>
          </w:divBdr>
        </w:div>
        <w:div w:id="1144275105">
          <w:marLeft w:val="0"/>
          <w:marRight w:val="0"/>
          <w:marTop w:val="0"/>
          <w:marBottom w:val="0"/>
          <w:divBdr>
            <w:top w:val="none" w:sz="0" w:space="0" w:color="auto"/>
            <w:left w:val="none" w:sz="0" w:space="0" w:color="auto"/>
            <w:bottom w:val="none" w:sz="0" w:space="0" w:color="auto"/>
            <w:right w:val="none" w:sz="0" w:space="0" w:color="auto"/>
          </w:divBdr>
        </w:div>
        <w:div w:id="1827628718">
          <w:marLeft w:val="0"/>
          <w:marRight w:val="0"/>
          <w:marTop w:val="0"/>
          <w:marBottom w:val="0"/>
          <w:divBdr>
            <w:top w:val="none" w:sz="0" w:space="0" w:color="auto"/>
            <w:left w:val="none" w:sz="0" w:space="0" w:color="auto"/>
            <w:bottom w:val="none" w:sz="0" w:space="0" w:color="auto"/>
            <w:right w:val="none" w:sz="0" w:space="0" w:color="auto"/>
          </w:divBdr>
        </w:div>
      </w:divsChild>
    </w:div>
    <w:div w:id="1112747580">
      <w:bodyDiv w:val="1"/>
      <w:marLeft w:val="0"/>
      <w:marRight w:val="0"/>
      <w:marTop w:val="0"/>
      <w:marBottom w:val="0"/>
      <w:divBdr>
        <w:top w:val="none" w:sz="0" w:space="0" w:color="auto"/>
        <w:left w:val="none" w:sz="0" w:space="0" w:color="auto"/>
        <w:bottom w:val="none" w:sz="0" w:space="0" w:color="auto"/>
        <w:right w:val="none" w:sz="0" w:space="0" w:color="auto"/>
      </w:divBdr>
      <w:divsChild>
        <w:div w:id="1194922981">
          <w:marLeft w:val="0"/>
          <w:marRight w:val="0"/>
          <w:marTop w:val="0"/>
          <w:marBottom w:val="0"/>
          <w:divBdr>
            <w:top w:val="none" w:sz="0" w:space="0" w:color="auto"/>
            <w:left w:val="none" w:sz="0" w:space="0" w:color="auto"/>
            <w:bottom w:val="none" w:sz="0" w:space="0" w:color="auto"/>
            <w:right w:val="none" w:sz="0" w:space="0" w:color="auto"/>
          </w:divBdr>
        </w:div>
        <w:div w:id="1144004763">
          <w:marLeft w:val="0"/>
          <w:marRight w:val="0"/>
          <w:marTop w:val="0"/>
          <w:marBottom w:val="0"/>
          <w:divBdr>
            <w:top w:val="none" w:sz="0" w:space="0" w:color="auto"/>
            <w:left w:val="none" w:sz="0" w:space="0" w:color="auto"/>
            <w:bottom w:val="none" w:sz="0" w:space="0" w:color="auto"/>
            <w:right w:val="none" w:sz="0" w:space="0" w:color="auto"/>
          </w:divBdr>
        </w:div>
        <w:div w:id="2067877430">
          <w:marLeft w:val="0"/>
          <w:marRight w:val="0"/>
          <w:marTop w:val="0"/>
          <w:marBottom w:val="0"/>
          <w:divBdr>
            <w:top w:val="none" w:sz="0" w:space="0" w:color="auto"/>
            <w:left w:val="none" w:sz="0" w:space="0" w:color="auto"/>
            <w:bottom w:val="none" w:sz="0" w:space="0" w:color="auto"/>
            <w:right w:val="none" w:sz="0" w:space="0" w:color="auto"/>
          </w:divBdr>
        </w:div>
        <w:div w:id="2075346717">
          <w:marLeft w:val="0"/>
          <w:marRight w:val="0"/>
          <w:marTop w:val="0"/>
          <w:marBottom w:val="0"/>
          <w:divBdr>
            <w:top w:val="none" w:sz="0" w:space="0" w:color="auto"/>
            <w:left w:val="none" w:sz="0" w:space="0" w:color="auto"/>
            <w:bottom w:val="none" w:sz="0" w:space="0" w:color="auto"/>
            <w:right w:val="none" w:sz="0" w:space="0" w:color="auto"/>
          </w:divBdr>
        </w:div>
        <w:div w:id="1388532583">
          <w:marLeft w:val="0"/>
          <w:marRight w:val="0"/>
          <w:marTop w:val="0"/>
          <w:marBottom w:val="0"/>
          <w:divBdr>
            <w:top w:val="none" w:sz="0" w:space="0" w:color="auto"/>
            <w:left w:val="none" w:sz="0" w:space="0" w:color="auto"/>
            <w:bottom w:val="none" w:sz="0" w:space="0" w:color="auto"/>
            <w:right w:val="none" w:sz="0" w:space="0" w:color="auto"/>
          </w:divBdr>
        </w:div>
      </w:divsChild>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978304">
      <w:bodyDiv w:val="1"/>
      <w:marLeft w:val="0"/>
      <w:marRight w:val="0"/>
      <w:marTop w:val="0"/>
      <w:marBottom w:val="0"/>
      <w:divBdr>
        <w:top w:val="none" w:sz="0" w:space="0" w:color="auto"/>
        <w:left w:val="none" w:sz="0" w:space="0" w:color="auto"/>
        <w:bottom w:val="none" w:sz="0" w:space="0" w:color="auto"/>
        <w:right w:val="none" w:sz="0" w:space="0" w:color="auto"/>
      </w:divBdr>
      <w:divsChild>
        <w:div w:id="2080206878">
          <w:marLeft w:val="0"/>
          <w:marRight w:val="0"/>
          <w:marTop w:val="0"/>
          <w:marBottom w:val="0"/>
          <w:divBdr>
            <w:top w:val="none" w:sz="0" w:space="0" w:color="auto"/>
            <w:left w:val="none" w:sz="0" w:space="0" w:color="auto"/>
            <w:bottom w:val="none" w:sz="0" w:space="0" w:color="auto"/>
            <w:right w:val="none" w:sz="0" w:space="0" w:color="auto"/>
          </w:divBdr>
        </w:div>
        <w:div w:id="1693338675">
          <w:marLeft w:val="0"/>
          <w:marRight w:val="0"/>
          <w:marTop w:val="0"/>
          <w:marBottom w:val="0"/>
          <w:divBdr>
            <w:top w:val="none" w:sz="0" w:space="0" w:color="auto"/>
            <w:left w:val="none" w:sz="0" w:space="0" w:color="auto"/>
            <w:bottom w:val="none" w:sz="0" w:space="0" w:color="auto"/>
            <w:right w:val="none" w:sz="0" w:space="0" w:color="auto"/>
          </w:divBdr>
        </w:div>
        <w:div w:id="1300260910">
          <w:marLeft w:val="0"/>
          <w:marRight w:val="0"/>
          <w:marTop w:val="0"/>
          <w:marBottom w:val="0"/>
          <w:divBdr>
            <w:top w:val="none" w:sz="0" w:space="0" w:color="auto"/>
            <w:left w:val="none" w:sz="0" w:space="0" w:color="auto"/>
            <w:bottom w:val="none" w:sz="0" w:space="0" w:color="auto"/>
            <w:right w:val="none" w:sz="0" w:space="0" w:color="auto"/>
          </w:divBdr>
        </w:div>
        <w:div w:id="1385376344">
          <w:marLeft w:val="0"/>
          <w:marRight w:val="0"/>
          <w:marTop w:val="0"/>
          <w:marBottom w:val="0"/>
          <w:divBdr>
            <w:top w:val="none" w:sz="0" w:space="0" w:color="auto"/>
            <w:left w:val="none" w:sz="0" w:space="0" w:color="auto"/>
            <w:bottom w:val="none" w:sz="0" w:space="0" w:color="auto"/>
            <w:right w:val="none" w:sz="0" w:space="0" w:color="auto"/>
          </w:divBdr>
        </w:div>
        <w:div w:id="152961093">
          <w:marLeft w:val="0"/>
          <w:marRight w:val="0"/>
          <w:marTop w:val="0"/>
          <w:marBottom w:val="0"/>
          <w:divBdr>
            <w:top w:val="none" w:sz="0" w:space="0" w:color="auto"/>
            <w:left w:val="none" w:sz="0" w:space="0" w:color="auto"/>
            <w:bottom w:val="none" w:sz="0" w:space="0" w:color="auto"/>
            <w:right w:val="none" w:sz="0" w:space="0" w:color="auto"/>
          </w:divBdr>
        </w:div>
        <w:div w:id="1758794525">
          <w:marLeft w:val="0"/>
          <w:marRight w:val="0"/>
          <w:marTop w:val="0"/>
          <w:marBottom w:val="0"/>
          <w:divBdr>
            <w:top w:val="none" w:sz="0" w:space="0" w:color="auto"/>
            <w:left w:val="none" w:sz="0" w:space="0" w:color="auto"/>
            <w:bottom w:val="none" w:sz="0" w:space="0" w:color="auto"/>
            <w:right w:val="none" w:sz="0" w:space="0" w:color="auto"/>
          </w:divBdr>
        </w:div>
        <w:div w:id="1094129658">
          <w:marLeft w:val="0"/>
          <w:marRight w:val="0"/>
          <w:marTop w:val="0"/>
          <w:marBottom w:val="0"/>
          <w:divBdr>
            <w:top w:val="none" w:sz="0" w:space="0" w:color="auto"/>
            <w:left w:val="none" w:sz="0" w:space="0" w:color="auto"/>
            <w:bottom w:val="none" w:sz="0" w:space="0" w:color="auto"/>
            <w:right w:val="none" w:sz="0" w:space="0" w:color="auto"/>
          </w:divBdr>
        </w:div>
        <w:div w:id="1376195823">
          <w:marLeft w:val="0"/>
          <w:marRight w:val="0"/>
          <w:marTop w:val="0"/>
          <w:marBottom w:val="0"/>
          <w:divBdr>
            <w:top w:val="none" w:sz="0" w:space="0" w:color="auto"/>
            <w:left w:val="none" w:sz="0" w:space="0" w:color="auto"/>
            <w:bottom w:val="none" w:sz="0" w:space="0" w:color="auto"/>
            <w:right w:val="none" w:sz="0" w:space="0" w:color="auto"/>
          </w:divBdr>
        </w:div>
        <w:div w:id="602227400">
          <w:marLeft w:val="0"/>
          <w:marRight w:val="0"/>
          <w:marTop w:val="0"/>
          <w:marBottom w:val="0"/>
          <w:divBdr>
            <w:top w:val="none" w:sz="0" w:space="0" w:color="auto"/>
            <w:left w:val="none" w:sz="0" w:space="0" w:color="auto"/>
            <w:bottom w:val="none" w:sz="0" w:space="0" w:color="auto"/>
            <w:right w:val="none" w:sz="0" w:space="0" w:color="auto"/>
          </w:divBdr>
        </w:div>
        <w:div w:id="356397132">
          <w:marLeft w:val="0"/>
          <w:marRight w:val="0"/>
          <w:marTop w:val="0"/>
          <w:marBottom w:val="0"/>
          <w:divBdr>
            <w:top w:val="none" w:sz="0" w:space="0" w:color="auto"/>
            <w:left w:val="none" w:sz="0" w:space="0" w:color="auto"/>
            <w:bottom w:val="none" w:sz="0" w:space="0" w:color="auto"/>
            <w:right w:val="none" w:sz="0" w:space="0" w:color="auto"/>
          </w:divBdr>
        </w:div>
        <w:div w:id="1480539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923</Words>
  <Characters>5263</Characters>
  <Application>Microsoft Office Word</Application>
  <DocSecurity>0</DocSecurity>
  <Lines>43</Lines>
  <Paragraphs>12</Paragraphs>
  <ScaleCrop>false</ScaleCrop>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2</cp:revision>
  <dcterms:created xsi:type="dcterms:W3CDTF">2025-05-09T11:07:00Z</dcterms:created>
  <dcterms:modified xsi:type="dcterms:W3CDTF">2025-05-09T11:07:00Z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